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976"/>
      </w:tblGrid>
      <w:tr>
        <w:trPr>
          <w:trHeight w:val="87"/>
        </w:trPr>
        <w:tc>
          <w:tcPr>
            <w:tcW w:w="6374" w:type="dxa"/>
          </w:tcPr>
          <w:p>
            <w:pPr>
              <w:pStyle w:val="TextCenter"/>
              <w:keepNext/>
              <w:spacing w:after="0" w:line="240" w:lineRule="auto"/>
              <w:ind w:left="-108"/>
              <w:jc w:val="left"/>
              <w:rPr>
                <w:b/>
                <w:bCs/>
                <w:lang w:val="fr-CA"/>
              </w:rPr>
            </w:pPr>
            <w:bookmarkStart w:id="0" w:name="_Hlk125115069"/>
            <w:bookmarkStart w:id="1" w:name="_dxtcompanion_actionscomplete"/>
            <w:r>
              <w:rPr>
                <w:b/>
                <w:bCs/>
                <w:lang w:val="fr-CA"/>
              </w:rPr>
              <w:t>Document d’offre sous le régime de la dispense pour financement de l’émetteur coté modifié et mis à jour</w:t>
            </w:r>
          </w:p>
        </w:tc>
        <w:tc>
          <w:tcPr>
            <w:tcW w:w="2976" w:type="dxa"/>
          </w:tcPr>
          <w:p>
            <w:pPr>
              <w:pStyle w:val="TextCenter"/>
              <w:keepNext/>
              <w:spacing w:after="120" w:line="240" w:lineRule="auto"/>
              <w:ind w:right="-116"/>
              <w:jc w:val="right"/>
              <w:rPr>
                <w:b/>
                <w:bCs/>
                <w:lang w:val="fr-CA"/>
              </w:rPr>
            </w:pPr>
            <w:r>
              <w:rPr>
                <w:b/>
                <w:bCs/>
                <w:lang w:val="fr-CA"/>
              </w:rPr>
              <w:t>Le 15 février 2023</w:t>
            </w:r>
          </w:p>
        </w:tc>
      </w:tr>
    </w:tbl>
    <w:bookmarkEnd w:id="0"/>
    <w:p>
      <w:pPr>
        <w:pStyle w:val="TextCenter"/>
        <w:keepNext/>
        <w:spacing w:after="120" w:line="240" w:lineRule="auto"/>
        <w:rPr>
          <w:b/>
          <w:bCs/>
          <w:lang w:val="fr-CA"/>
        </w:rPr>
      </w:pPr>
      <w:r>
        <w:rPr>
          <w:b/>
          <w:bCs/>
          <w:noProof/>
          <w:lang w:val="fr-CA"/>
        </w:rPr>
        <w:drawing>
          <wp:inline distT="0" distB="0" distL="0" distR="0">
            <wp:extent cx="1111041" cy="11057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631" cy="1128269"/>
                    </a:xfrm>
                    <a:prstGeom prst="rect">
                      <a:avLst/>
                    </a:prstGeom>
                    <a:noFill/>
                    <a:ln>
                      <a:noFill/>
                    </a:ln>
                  </pic:spPr>
                </pic:pic>
              </a:graphicData>
            </a:graphic>
          </wp:inline>
        </w:drawing>
      </w:r>
    </w:p>
    <w:p>
      <w:pPr>
        <w:pStyle w:val="TextCenter"/>
        <w:keepNext/>
        <w:spacing w:after="120" w:line="240" w:lineRule="auto"/>
        <w:rPr>
          <w:b/>
          <w:bCs/>
          <w:lang w:val="fr-CA"/>
        </w:rPr>
      </w:pPr>
      <w:r>
        <w:rPr>
          <w:b/>
          <w:bCs/>
          <w:lang w:val="fr-CA"/>
        </w:rPr>
        <w:t>Victory Battery Metals Corp. (« Victory » ou la « Société »)</w:t>
      </w:r>
    </w:p>
    <w:p>
      <w:pPr>
        <w:pStyle w:val="TextCenter"/>
        <w:keepNext/>
        <w:spacing w:after="120" w:line="240" w:lineRule="auto"/>
        <w:rPr>
          <w:b/>
          <w:bCs/>
          <w:lang w:val="fr-CA"/>
        </w:rPr>
      </w:pPr>
      <w:r>
        <w:rPr>
          <w:b/>
          <w:bCs/>
          <w:lang w:val="fr-CA"/>
        </w:rPr>
        <w:t>DESCRIPTION SOMMAIRE DU PLACEMENT</w:t>
      </w:r>
    </w:p>
    <w:p>
      <w:pPr>
        <w:pStyle w:val="TextJustified"/>
        <w:keepNext/>
        <w:spacing w:line="240" w:lineRule="auto"/>
        <w:rPr>
          <w:b/>
          <w:bCs/>
          <w:lang w:val="fr-CA"/>
        </w:rPr>
      </w:pPr>
      <w:r>
        <w:rPr>
          <w:b/>
          <w:bCs/>
          <w:lang w:val="fr-CA"/>
        </w:rPr>
        <w:t>Quels titres sont placés?</w:t>
      </w:r>
    </w:p>
    <w:tbl>
      <w:tblPr>
        <w:tblStyle w:val="TableGrid"/>
        <w:tblW w:w="0" w:type="auto"/>
        <w:tblLook w:val="04A0" w:firstRow="1" w:lastRow="0" w:firstColumn="1" w:lastColumn="0" w:noHBand="0" w:noVBand="1"/>
      </w:tblPr>
      <w:tblGrid>
        <w:gridCol w:w="1838"/>
        <w:gridCol w:w="7512"/>
      </w:tblGrid>
      <w:tr>
        <w:tc>
          <w:tcPr>
            <w:tcW w:w="1838" w:type="dxa"/>
            <w:shd w:val="clear" w:color="auto" w:fill="D9D9D9" w:themeFill="background1" w:themeFillShade="D9"/>
          </w:tcPr>
          <w:p>
            <w:pPr>
              <w:pStyle w:val="TableText"/>
              <w:spacing w:line="240" w:lineRule="auto"/>
              <w:rPr>
                <w:b/>
                <w:bCs/>
                <w:lang w:val="fr-CA"/>
              </w:rPr>
            </w:pPr>
            <w:r>
              <w:rPr>
                <w:b/>
                <w:bCs/>
                <w:lang w:val="fr-CA"/>
              </w:rPr>
              <w:t>Placement :</w:t>
            </w:r>
          </w:p>
        </w:tc>
        <w:tc>
          <w:tcPr>
            <w:tcW w:w="7512" w:type="dxa"/>
          </w:tcPr>
          <w:p>
            <w:pPr>
              <w:pStyle w:val="TableText"/>
              <w:spacing w:line="240" w:lineRule="auto"/>
              <w:jc w:val="both"/>
              <w:rPr>
                <w:lang w:val="fr-CA"/>
              </w:rPr>
            </w:pPr>
            <w:r>
              <w:rPr>
                <w:lang w:val="fr-CA"/>
              </w:rPr>
              <w:t>Il s’agit d’un placement privé d’unités (les « </w:t>
            </w:r>
            <w:r>
              <w:rPr>
                <w:b/>
                <w:bCs/>
                <w:lang w:val="fr-CA"/>
              </w:rPr>
              <w:t>unités faisant l’objet du présent placement</w:t>
            </w:r>
            <w:r>
              <w:rPr>
                <w:lang w:val="fr-CA"/>
              </w:rPr>
              <w:t> ») de la Société, dont chacune se compose d’une action ordinaire du capital de la Société (une « </w:t>
            </w:r>
            <w:r>
              <w:rPr>
                <w:b/>
                <w:bCs/>
                <w:lang w:val="fr-CA"/>
              </w:rPr>
              <w:t>action ordinaire</w:t>
            </w:r>
            <w:r>
              <w:rPr>
                <w:lang w:val="fr-CA"/>
              </w:rPr>
              <w:t xml:space="preserve"> ») et d’un </w:t>
            </w:r>
            <w:r>
              <w:rPr>
                <w:rFonts w:eastAsia="Arial"/>
                <w:spacing w:val="-3"/>
                <w:lang w:val="fr-CA"/>
              </w:rPr>
              <w:t>bon de souscription</w:t>
            </w:r>
            <w:r>
              <w:rPr>
                <w:lang w:val="fr-CA"/>
              </w:rPr>
              <w:t xml:space="preserve"> </w:t>
            </w:r>
            <w:r>
              <w:rPr>
                <w:rFonts w:eastAsia="Arial"/>
                <w:spacing w:val="-3"/>
                <w:lang w:val="fr-CA"/>
              </w:rPr>
              <w:t>d’actions ordinaires</w:t>
            </w:r>
            <w:r>
              <w:rPr>
                <w:lang w:val="fr-CA"/>
              </w:rPr>
              <w:t xml:space="preserve"> (un « </w:t>
            </w:r>
            <w:r>
              <w:rPr>
                <w:rFonts w:eastAsia="Arial"/>
                <w:b/>
                <w:bCs/>
                <w:spacing w:val="-3"/>
                <w:lang w:val="fr-CA"/>
              </w:rPr>
              <w:t>bon de souscription</w:t>
            </w:r>
            <w:r>
              <w:rPr>
                <w:lang w:val="fr-CA"/>
              </w:rPr>
              <w:t xml:space="preserve"> »). Chaque </w:t>
            </w:r>
            <w:r>
              <w:rPr>
                <w:rFonts w:eastAsia="Arial"/>
                <w:spacing w:val="-3"/>
                <w:lang w:val="fr-CA"/>
              </w:rPr>
              <w:t>bon de souscription</w:t>
            </w:r>
            <w:r>
              <w:rPr>
                <w:lang w:val="fr-CA"/>
              </w:rPr>
              <w:t xml:space="preserve"> donne à son porteur le droit d’acheter une action ordinaire supplémentaire au prix de 0,12 $ chacune pendant la période de deux ans suivant la date de clôture (</w:t>
            </w:r>
            <w:r>
              <w:rPr>
                <w:szCs w:val="18"/>
                <w:lang w:val="fr-CA"/>
              </w:rPr>
              <w:t>au sens donné à ce terme</w:t>
            </w:r>
            <w:r>
              <w:rPr>
                <w:lang w:val="fr-CA"/>
              </w:rPr>
              <w:t xml:space="preserve"> dans les présentes), sous réserve du devancement de sa date d’expiration, comme il est décrit dans les présentes.</w:t>
            </w:r>
          </w:p>
          <w:p>
            <w:pPr>
              <w:pStyle w:val="TableText"/>
              <w:spacing w:line="240" w:lineRule="auto"/>
              <w:jc w:val="both"/>
              <w:rPr>
                <w:rFonts w:eastAsia="Arial"/>
                <w:spacing w:val="-3"/>
                <w:lang w:val="fr-CA"/>
              </w:rPr>
            </w:pPr>
            <w:r>
              <w:rPr>
                <w:lang w:val="fr-CA"/>
              </w:rPr>
              <w:t xml:space="preserve">Si, à </w:t>
            </w:r>
            <w:r>
              <w:rPr>
                <w:rFonts w:asciiTheme="minorHAnsi" w:eastAsia="Times New Roman" w:hAnsiTheme="minorHAnsi" w:cstheme="minorHAnsi"/>
                <w:color w:val="000000"/>
                <w:lang w:val="fr-CA" w:eastAsia="fr-CA"/>
              </w:rPr>
              <w:t>quelque moment que ce soit</w:t>
            </w:r>
            <w:r>
              <w:rPr>
                <w:lang w:val="fr-CA"/>
              </w:rPr>
              <w:t>, le cours de clôture des actions ordinaires de la Société est supérieur à 0,17 $ pendant une période de 10 jours consécutifs, y compris ceux où aucune opération n’est effectuée sur ces actions, la Société pourra envoyer aux porteurs un avis écrit (l’« </w:t>
            </w:r>
            <w:r>
              <w:rPr>
                <w:b/>
                <w:bCs/>
                <w:lang w:val="fr-CA"/>
              </w:rPr>
              <w:t xml:space="preserve">avis de devancement relatif aux </w:t>
            </w:r>
            <w:r>
              <w:rPr>
                <w:rFonts w:eastAsia="Arial"/>
                <w:b/>
                <w:bCs/>
                <w:spacing w:val="-3"/>
                <w:lang w:val="fr-CA"/>
              </w:rPr>
              <w:t>bons de souscription</w:t>
            </w:r>
            <w:r>
              <w:rPr>
                <w:lang w:val="fr-CA"/>
              </w:rPr>
              <w:t xml:space="preserve"> ») leur indiquant que la date d’expiration des </w:t>
            </w:r>
            <w:r>
              <w:rPr>
                <w:rFonts w:eastAsia="Arial"/>
                <w:spacing w:val="-3"/>
                <w:lang w:val="fr-CA"/>
              </w:rPr>
              <w:t>bons de souscription est devancée à une date se situant au moins 30 jours à compter de la date de l’avis en question.</w:t>
            </w:r>
          </w:p>
          <w:p>
            <w:pPr>
              <w:pStyle w:val="TableText"/>
              <w:spacing w:line="240" w:lineRule="auto"/>
              <w:jc w:val="both"/>
              <w:rPr>
                <w:lang w:val="fr-CA"/>
              </w:rPr>
            </w:pPr>
            <w:r>
              <w:rPr>
                <w:lang w:val="fr-CA"/>
              </w:rPr>
              <w:t xml:space="preserve">Les porteurs </w:t>
            </w:r>
            <w:r>
              <w:rPr>
                <w:rFonts w:eastAsia="Arial"/>
                <w:spacing w:val="-3"/>
                <w:lang w:val="fr-CA"/>
              </w:rPr>
              <w:t>d’actions ordinaires</w:t>
            </w:r>
            <w:r>
              <w:rPr>
                <w:lang w:val="fr-CA"/>
              </w:rPr>
              <w:t xml:space="preserve"> ont le droit (i) d’être convoqués et de voter à chaque assemblée des </w:t>
            </w:r>
            <w:r>
              <w:rPr>
                <w:rFonts w:eastAsia="Arial"/>
                <w:lang w:val="fr-CA"/>
              </w:rPr>
              <w:t>actionnaires</w:t>
            </w:r>
            <w:r>
              <w:rPr>
                <w:lang w:val="fr-CA"/>
              </w:rPr>
              <w:t xml:space="preserve"> de la Société et d’y exprimer une (1) voix par action ordinaire qu’ils détiennent, (ii) de toucher les dividendes que les administrateurs déclarent par voie de résolution et (iii) de recevoir une part proportionnelle de l’actif de la Société en cas de liquidation ou de dissolution de celle</w:t>
            </w:r>
            <w:r>
              <w:rPr>
                <w:lang w:val="fr-CA"/>
              </w:rPr>
              <w:noBreakHyphen/>
              <w:t>ci ou de toute autre répartition de son actif entre ses actionnaires (effectuée autrement que par voie de dividendes). Les actions ordinaires ne comportent aucun droit de souscription, droit de souscription préférentiel, droit de rachat ou droit de conversion.</w:t>
            </w:r>
          </w:p>
        </w:tc>
      </w:tr>
      <w:tr>
        <w:tc>
          <w:tcPr>
            <w:tcW w:w="1838" w:type="dxa"/>
            <w:shd w:val="clear" w:color="auto" w:fill="D9D9D9" w:themeFill="background1" w:themeFillShade="D9"/>
          </w:tcPr>
          <w:p>
            <w:pPr>
              <w:pStyle w:val="TableText"/>
              <w:spacing w:line="240" w:lineRule="auto"/>
              <w:rPr>
                <w:b/>
                <w:bCs/>
                <w:lang w:val="fr-CA"/>
              </w:rPr>
            </w:pPr>
            <w:r>
              <w:rPr>
                <w:b/>
                <w:bCs/>
                <w:lang w:val="fr-CA"/>
              </w:rPr>
              <w:t>Prix d’offre :</w:t>
            </w:r>
          </w:p>
        </w:tc>
        <w:tc>
          <w:tcPr>
            <w:tcW w:w="7512" w:type="dxa"/>
          </w:tcPr>
          <w:p>
            <w:pPr>
              <w:pStyle w:val="TableText"/>
              <w:spacing w:line="240" w:lineRule="auto"/>
              <w:jc w:val="both"/>
              <w:rPr>
                <w:lang w:val="fr-CA"/>
              </w:rPr>
            </w:pPr>
            <w:r>
              <w:rPr>
                <w:lang w:val="fr-CA"/>
              </w:rPr>
              <w:t>0,08 $ par unité faisant l’objet du placement</w:t>
            </w:r>
          </w:p>
        </w:tc>
      </w:tr>
      <w:tr>
        <w:trPr>
          <w:cantSplit/>
        </w:trPr>
        <w:tc>
          <w:tcPr>
            <w:tcW w:w="1838" w:type="dxa"/>
            <w:shd w:val="clear" w:color="auto" w:fill="D9D9D9" w:themeFill="background1" w:themeFillShade="D9"/>
          </w:tcPr>
          <w:p>
            <w:pPr>
              <w:pStyle w:val="TableText"/>
              <w:spacing w:line="240" w:lineRule="auto"/>
              <w:rPr>
                <w:b/>
                <w:bCs/>
                <w:lang w:val="fr-CA"/>
              </w:rPr>
            </w:pPr>
            <w:r>
              <w:rPr>
                <w:b/>
                <w:bCs/>
                <w:lang w:val="fr-CA"/>
              </w:rPr>
              <w:t>Nombre de titres placés :</w:t>
            </w:r>
          </w:p>
        </w:tc>
        <w:tc>
          <w:tcPr>
            <w:tcW w:w="7512" w:type="dxa"/>
          </w:tcPr>
          <w:p>
            <w:pPr>
              <w:pStyle w:val="TableText"/>
              <w:spacing w:line="240" w:lineRule="auto"/>
              <w:jc w:val="both"/>
              <w:rPr>
                <w:lang w:val="fr-CA"/>
              </w:rPr>
            </w:pPr>
            <w:r>
              <w:rPr>
                <w:lang w:val="fr-CA"/>
              </w:rPr>
              <w:t>Le placement consiste en un nombre d’unités pouvant aller jusqu’à 12 500 000, ce qui correspond à un produit brut pouvant aller jusqu’à 1 000 000 $ (le « </w:t>
            </w:r>
            <w:r>
              <w:rPr>
                <w:b/>
                <w:bCs/>
                <w:lang w:val="fr-CA"/>
              </w:rPr>
              <w:t>placement</w:t>
            </w:r>
            <w:r>
              <w:rPr>
                <w:lang w:val="fr-CA"/>
              </w:rPr>
              <w:t xml:space="preserve"> »). Collectivement, le nombre de parts pouvant être placées dans le cadre du placement et du placement simultané (qui est décrit </w:t>
            </w:r>
            <w:r>
              <w:rPr>
                <w:rFonts w:cs="Arial"/>
                <w:lang w:val="fr-CA"/>
              </w:rPr>
              <w:t>ci</w:t>
            </w:r>
            <w:r>
              <w:rPr>
                <w:rFonts w:cs="Arial"/>
                <w:lang w:val="fr-CA"/>
              </w:rPr>
              <w:noBreakHyphen/>
              <w:t>après</w:t>
            </w:r>
            <w:r>
              <w:rPr>
                <w:lang w:val="fr-CA"/>
              </w:rPr>
              <w:t xml:space="preserve">) s’établit à </w:t>
            </w:r>
            <w:r>
              <w:rPr>
                <w:b/>
                <w:bCs/>
                <w:lang w:val="fr-CA"/>
              </w:rPr>
              <w:t>20 833 333</w:t>
            </w:r>
            <w:r>
              <w:rPr>
                <w:lang w:val="fr-CA"/>
              </w:rPr>
              <w:t xml:space="preserve">, ce qui correspond à un produit brut pouvant aller jusqu’à 2 000 000 $. </w:t>
            </w:r>
          </w:p>
          <w:p>
            <w:pPr>
              <w:pStyle w:val="TableText"/>
              <w:spacing w:line="240" w:lineRule="auto"/>
              <w:jc w:val="both"/>
              <w:rPr>
                <w:lang w:val="fr-CA"/>
              </w:rPr>
            </w:pPr>
            <w:r>
              <w:rPr>
                <w:lang w:val="fr-CA"/>
              </w:rPr>
              <w:t xml:space="preserve">Dans le présent document d’offre, sauf indication contraire, les mentions de « dollars », de « $ CA » ou de « $ » désignent le dollar canadien. </w:t>
            </w:r>
          </w:p>
        </w:tc>
      </w:tr>
      <w:tr>
        <w:tc>
          <w:tcPr>
            <w:tcW w:w="1838" w:type="dxa"/>
            <w:shd w:val="clear" w:color="auto" w:fill="D9D9D9" w:themeFill="background1" w:themeFillShade="D9"/>
          </w:tcPr>
          <w:p>
            <w:pPr>
              <w:pStyle w:val="TableText"/>
              <w:spacing w:line="240" w:lineRule="auto"/>
              <w:rPr>
                <w:b/>
                <w:bCs/>
                <w:lang w:val="fr-CA"/>
              </w:rPr>
            </w:pPr>
            <w:r>
              <w:rPr>
                <w:b/>
                <w:bCs/>
                <w:lang w:val="fr-CA"/>
              </w:rPr>
              <w:t>Placement simultané :</w:t>
            </w:r>
          </w:p>
        </w:tc>
        <w:tc>
          <w:tcPr>
            <w:tcW w:w="7512" w:type="dxa"/>
          </w:tcPr>
          <w:p>
            <w:pPr>
              <w:pStyle w:val="TableText"/>
              <w:spacing w:line="240" w:lineRule="auto"/>
              <w:jc w:val="both"/>
              <w:rPr>
                <w:lang w:val="fr-CA"/>
              </w:rPr>
            </w:pPr>
            <w:r>
              <w:rPr>
                <w:lang w:val="fr-CA"/>
              </w:rPr>
              <w:t>En outre, la Société a l’intention de réaliser un placement privé simultané d’unités accréditives (les « </w:t>
            </w:r>
            <w:r>
              <w:rPr>
                <w:b/>
                <w:bCs/>
                <w:lang w:val="fr-CA"/>
              </w:rPr>
              <w:t>unités accréditives</w:t>
            </w:r>
            <w:r>
              <w:rPr>
                <w:lang w:val="fr-CA"/>
              </w:rPr>
              <w:t> ») auprès de certains initiés et de certains autres acquéreurs conformément aux dispenses applicables dont elle peut se prévaloir en vertu du règlement 45</w:t>
            </w:r>
            <w:r>
              <w:rPr>
                <w:lang w:val="fr-CA"/>
              </w:rPr>
              <w:noBreakHyphen/>
              <w:t>106, en vue de réunir un produit brut global pouvant aller jusqu’à 1 000 000 $ (le « </w:t>
            </w:r>
            <w:r>
              <w:rPr>
                <w:b/>
                <w:bCs/>
                <w:lang w:val="fr-CA"/>
              </w:rPr>
              <w:t>placement simultané</w:t>
            </w:r>
            <w:r>
              <w:rPr>
                <w:lang w:val="fr-CA"/>
              </w:rPr>
              <w:t xml:space="preserve"> »). Chaque unité </w:t>
            </w:r>
            <w:r>
              <w:rPr>
                <w:lang w:val="fr-CA"/>
              </w:rPr>
              <w:lastRenderedPageBreak/>
              <w:t xml:space="preserve">accréditive se compose d’une action ordinaire et d’un </w:t>
            </w:r>
            <w:r>
              <w:rPr>
                <w:rFonts w:eastAsia="Arial"/>
                <w:spacing w:val="-3"/>
                <w:lang w:val="fr-CA"/>
              </w:rPr>
              <w:t>bon de souscription</w:t>
            </w:r>
            <w:r>
              <w:rPr>
                <w:lang w:val="fr-CA"/>
              </w:rPr>
              <w:t xml:space="preserve"> accréditif pouvant être exercé pendant une période de deux ans au prix de 0.15 $.</w:t>
            </w:r>
          </w:p>
          <w:p>
            <w:pPr>
              <w:pStyle w:val="TableText"/>
              <w:spacing w:line="240" w:lineRule="auto"/>
              <w:jc w:val="both"/>
              <w:rPr>
                <w:rFonts w:eastAsia="Arial"/>
                <w:spacing w:val="-3"/>
                <w:lang w:val="fr-CA"/>
              </w:rPr>
            </w:pPr>
            <w:r>
              <w:rPr>
                <w:lang w:val="fr-CA"/>
              </w:rPr>
              <w:t xml:space="preserve">Si, à </w:t>
            </w:r>
            <w:r>
              <w:rPr>
                <w:rFonts w:asciiTheme="minorHAnsi" w:eastAsia="Times New Roman" w:hAnsiTheme="minorHAnsi" w:cstheme="minorHAnsi"/>
                <w:color w:val="000000"/>
                <w:lang w:val="fr-CA" w:eastAsia="fr-CA"/>
              </w:rPr>
              <w:t>quelque moment que ce soit</w:t>
            </w:r>
            <w:r>
              <w:rPr>
                <w:lang w:val="fr-CA"/>
              </w:rPr>
              <w:t>, le cours de clôture des actions ordinaires de la Société est supérieur à 0,20 $ pendant une période de 10 jours consécutifs, y compris ceux où aucune opération n’est effectuée sur ces actions, la Société pourra envoyer aux porteurs un avis écrit (l’« </w:t>
            </w:r>
            <w:r>
              <w:rPr>
                <w:b/>
                <w:bCs/>
                <w:lang w:val="fr-CA"/>
              </w:rPr>
              <w:t xml:space="preserve">avis de devancement relatif aux </w:t>
            </w:r>
            <w:r>
              <w:rPr>
                <w:rFonts w:eastAsia="Arial"/>
                <w:b/>
                <w:bCs/>
                <w:spacing w:val="-3"/>
                <w:lang w:val="fr-CA"/>
              </w:rPr>
              <w:t>bons de souscription </w:t>
            </w:r>
            <w:r>
              <w:rPr>
                <w:lang w:val="fr-CA"/>
              </w:rPr>
              <w:t xml:space="preserve">») leur indiquant que la date d’expiration des </w:t>
            </w:r>
            <w:r>
              <w:rPr>
                <w:rFonts w:eastAsia="Arial"/>
                <w:spacing w:val="-3"/>
                <w:lang w:val="fr-CA"/>
              </w:rPr>
              <w:t>bons de souscription est devancée à une date se situant au moins 30 jours à compter de la date de l’avis en question.</w:t>
            </w:r>
          </w:p>
          <w:p>
            <w:pPr>
              <w:pStyle w:val="TableText"/>
              <w:spacing w:line="240" w:lineRule="auto"/>
              <w:jc w:val="both"/>
              <w:rPr>
                <w:lang w:val="fr-CA"/>
              </w:rPr>
            </w:pPr>
            <w:r>
              <w:rPr>
                <w:rFonts w:eastAsia="Arial"/>
                <w:spacing w:val="-3"/>
                <w:lang w:val="fr-CA"/>
              </w:rPr>
              <w:t>Les unités accréditives seront assujetties à une période de détention de quatre mois et un jour après la date de clôture.</w:t>
            </w:r>
          </w:p>
        </w:tc>
      </w:tr>
      <w:tr>
        <w:tc>
          <w:tcPr>
            <w:tcW w:w="1838" w:type="dxa"/>
            <w:shd w:val="clear" w:color="auto" w:fill="D9D9D9" w:themeFill="background1" w:themeFillShade="D9"/>
          </w:tcPr>
          <w:p>
            <w:pPr>
              <w:pStyle w:val="TableText"/>
              <w:spacing w:line="240" w:lineRule="auto"/>
              <w:rPr>
                <w:b/>
                <w:bCs/>
                <w:lang w:val="fr-CA"/>
              </w:rPr>
            </w:pPr>
            <w:r>
              <w:rPr>
                <w:b/>
                <w:bCs/>
                <w:lang w:val="fr-CA"/>
              </w:rPr>
              <w:lastRenderedPageBreak/>
              <w:t>Date de clôture :</w:t>
            </w:r>
          </w:p>
        </w:tc>
        <w:tc>
          <w:tcPr>
            <w:tcW w:w="7512" w:type="dxa"/>
          </w:tcPr>
          <w:p>
            <w:pPr>
              <w:pStyle w:val="TableText"/>
              <w:spacing w:line="240" w:lineRule="auto"/>
              <w:jc w:val="both"/>
              <w:rPr>
                <w:lang w:val="fr-CA"/>
              </w:rPr>
            </w:pPr>
            <w:r>
              <w:rPr>
                <w:lang w:val="fr-CA"/>
              </w:rPr>
              <w:t>La clôture aura lieu vers le 20 février 2023 ou à une ou plusieurs autres dates que la Société pourrait fixer (la « </w:t>
            </w:r>
            <w:r>
              <w:rPr>
                <w:b/>
                <w:bCs/>
                <w:lang w:val="fr-CA"/>
              </w:rPr>
              <w:t>date de clôture</w:t>
            </w:r>
            <w:r>
              <w:rPr>
                <w:lang w:val="fr-CA"/>
              </w:rPr>
              <w:t> »).</w:t>
            </w:r>
          </w:p>
        </w:tc>
      </w:tr>
      <w:tr>
        <w:tc>
          <w:tcPr>
            <w:tcW w:w="1838" w:type="dxa"/>
            <w:shd w:val="clear" w:color="auto" w:fill="D9D9D9" w:themeFill="background1" w:themeFillShade="D9"/>
          </w:tcPr>
          <w:p>
            <w:pPr>
              <w:pStyle w:val="TableText"/>
              <w:keepNext/>
              <w:spacing w:line="240" w:lineRule="auto"/>
              <w:rPr>
                <w:b/>
                <w:bCs/>
                <w:lang w:val="fr-CA"/>
              </w:rPr>
            </w:pPr>
            <w:r>
              <w:rPr>
                <w:b/>
                <w:bCs/>
                <w:lang w:val="fr-CA"/>
              </w:rPr>
              <w:t>Inscription en bourse :</w:t>
            </w:r>
          </w:p>
        </w:tc>
        <w:tc>
          <w:tcPr>
            <w:tcW w:w="7512" w:type="dxa"/>
          </w:tcPr>
          <w:p>
            <w:pPr>
              <w:pStyle w:val="TableText"/>
              <w:keepNext/>
              <w:spacing w:line="240" w:lineRule="auto"/>
              <w:jc w:val="both"/>
              <w:rPr>
                <w:lang w:val="fr-CA"/>
              </w:rPr>
            </w:pPr>
            <w:r>
              <w:rPr>
                <w:lang w:val="fr-CA"/>
              </w:rPr>
              <w:t>Les actions ordinaires sont inscrites à la Bourse des valeurs canadiennes (la « </w:t>
            </w:r>
            <w:r>
              <w:rPr>
                <w:b/>
                <w:bCs/>
                <w:lang w:val="fr-CA"/>
              </w:rPr>
              <w:t>CSE</w:t>
            </w:r>
            <w:r>
              <w:rPr>
                <w:lang w:val="fr-CA"/>
              </w:rPr>
              <w:t> ») sous le symbole « VR », à la bourse OTC Pink Market (l’« </w:t>
            </w:r>
            <w:r>
              <w:rPr>
                <w:b/>
                <w:bCs/>
                <w:lang w:val="fr-CA"/>
              </w:rPr>
              <w:t>OTC</w:t>
            </w:r>
            <w:r>
              <w:rPr>
                <w:lang w:val="fr-CA"/>
              </w:rPr>
              <w:t> ») sous le symbole « VRCFF » et à la Bourse de Francfort (la « </w:t>
            </w:r>
            <w:r>
              <w:rPr>
                <w:b/>
                <w:bCs/>
                <w:lang w:val="fr-CA"/>
              </w:rPr>
              <w:t>Bourse de Francfort</w:t>
            </w:r>
            <w:r>
              <w:rPr>
                <w:lang w:val="fr-CA"/>
              </w:rPr>
              <w:t> ») sous le symbole « VR6 ».</w:t>
            </w:r>
          </w:p>
        </w:tc>
      </w:tr>
      <w:tr>
        <w:tc>
          <w:tcPr>
            <w:tcW w:w="1838" w:type="dxa"/>
            <w:shd w:val="clear" w:color="auto" w:fill="D9D9D9" w:themeFill="background1" w:themeFillShade="D9"/>
          </w:tcPr>
          <w:p>
            <w:pPr>
              <w:pStyle w:val="TableText"/>
              <w:spacing w:line="240" w:lineRule="auto"/>
              <w:rPr>
                <w:b/>
                <w:bCs/>
                <w:lang w:val="fr-CA"/>
              </w:rPr>
            </w:pPr>
            <w:r>
              <w:rPr>
                <w:b/>
                <w:bCs/>
                <w:lang w:val="fr-CA"/>
              </w:rPr>
              <w:t>Dernier cours de clôture :</w:t>
            </w:r>
          </w:p>
        </w:tc>
        <w:tc>
          <w:tcPr>
            <w:tcW w:w="7512" w:type="dxa"/>
          </w:tcPr>
          <w:p>
            <w:pPr>
              <w:pStyle w:val="TableText"/>
              <w:spacing w:line="240" w:lineRule="auto"/>
              <w:jc w:val="both"/>
              <w:rPr>
                <w:lang w:val="fr-CA"/>
              </w:rPr>
            </w:pPr>
            <w:r>
              <w:rPr>
                <w:lang w:val="fr-CA"/>
              </w:rPr>
              <w:t xml:space="preserve">Le </w:t>
            </w:r>
            <w:r>
              <w:rPr>
                <w:rFonts w:cs="Arial"/>
                <w:lang w:val="fr-CA"/>
              </w:rPr>
              <w:t xml:space="preserve">3 février 2023, le </w:t>
            </w:r>
            <w:r>
              <w:rPr>
                <w:lang w:val="fr-CA"/>
              </w:rPr>
              <w:t>dernier cours de clôture des actions ordinaires à la CSE, à l’OTC et à la Bourse de Francfort s’est établi à 0,105 $, à 0,076 $ US et à 0,076 </w:t>
            </w:r>
            <w:r>
              <w:rPr>
                <w:rFonts w:cs="Arial"/>
                <w:lang w:val="fr-CA"/>
              </w:rPr>
              <w:t xml:space="preserve">€, respectivement. </w:t>
            </w:r>
          </w:p>
        </w:tc>
      </w:tr>
    </w:tbl>
    <w:p>
      <w:pPr>
        <w:pStyle w:val="TextJustified"/>
        <w:spacing w:before="240" w:line="240" w:lineRule="auto"/>
        <w:rPr>
          <w:b/>
          <w:bCs/>
          <w:i/>
          <w:iCs/>
          <w:lang w:val="fr-CA"/>
        </w:rPr>
      </w:pPr>
      <w:bookmarkStart w:id="2" w:name="_Hlk126834127"/>
      <w:r>
        <w:rPr>
          <w:b/>
          <w:bCs/>
          <w:i/>
          <w:iCs/>
          <w:lang w:val="fr-CA"/>
        </w:rPr>
        <w:t xml:space="preserve">Aucune autorité en valeurs mobilières ni aucun agent responsable ne s’est prononcé sur la qualité des titres qui font l’objet du présent placement ni n’a examiné le présent document. Quiconque donne à entendre le contraire commet une infraction. Ce placement pourrait ne pas vous convenir et vous ne devriez y investir que si vous êtes disposé à risquer la perte de la totalité du montant investi. Il est recommandé de consulter un courtier inscrit pour prendre cette décision d’investissement. </w:t>
      </w:r>
    </w:p>
    <w:p>
      <w:pPr>
        <w:pStyle w:val="TextJustified"/>
        <w:keepNext/>
        <w:spacing w:before="240" w:line="240" w:lineRule="auto"/>
        <w:rPr>
          <w:b/>
          <w:bCs/>
          <w:lang w:val="fr-CA"/>
        </w:rPr>
      </w:pPr>
      <w:r>
        <w:rPr>
          <w:b/>
          <w:bCs/>
          <w:lang w:val="fr-CA"/>
        </w:rPr>
        <w:t xml:space="preserve">Victory procède à un financement de l’émetteur coté en vertu de l’article 5A.2 du </w:t>
      </w:r>
      <w:r>
        <w:rPr>
          <w:b/>
          <w:bCs/>
          <w:i/>
          <w:iCs/>
          <w:lang w:val="fr-CA"/>
        </w:rPr>
        <w:t>Règlement 45</w:t>
      </w:r>
      <w:r>
        <w:rPr>
          <w:b/>
          <w:bCs/>
          <w:i/>
          <w:iCs/>
          <w:lang w:val="fr-CA"/>
        </w:rPr>
        <w:noBreakHyphen/>
        <w:t>106 sur les dispenses de prospectus</w:t>
      </w:r>
      <w:r>
        <w:rPr>
          <w:b/>
          <w:bCs/>
          <w:lang w:val="fr-CA"/>
        </w:rPr>
        <w:t xml:space="preserve">. Dans le cadre de ce placement, l’émetteur déclare ce qui suit : </w:t>
      </w:r>
    </w:p>
    <w:p>
      <w:pPr>
        <w:pStyle w:val="Bullet1"/>
        <w:spacing w:before="120" w:line="240" w:lineRule="auto"/>
        <w:jc w:val="both"/>
        <w:rPr>
          <w:b/>
          <w:bCs/>
          <w:lang w:val="fr-CA"/>
        </w:rPr>
      </w:pPr>
      <w:r>
        <w:rPr>
          <w:b/>
          <w:bCs/>
          <w:lang w:val="fr-CA"/>
        </w:rPr>
        <w:t>Il est en activité et son actif principal ne consiste pas en de la trésorerie ou des équivalents de trésorerie ou en l’inscription de ses titres à la cote.</w:t>
      </w:r>
    </w:p>
    <w:p>
      <w:pPr>
        <w:pStyle w:val="Bullet1"/>
        <w:spacing w:before="120" w:line="240" w:lineRule="auto"/>
        <w:jc w:val="both"/>
        <w:rPr>
          <w:b/>
          <w:bCs/>
          <w:lang w:val="fr-CA"/>
        </w:rPr>
      </w:pPr>
      <w:r>
        <w:rPr>
          <w:b/>
          <w:bCs/>
          <w:lang w:val="fr-CA"/>
        </w:rPr>
        <w:t xml:space="preserve">Il a déposé tous les documents d’information périodique et occasionnelle requis. </w:t>
      </w:r>
    </w:p>
    <w:p>
      <w:pPr>
        <w:pStyle w:val="Bullet1"/>
        <w:spacing w:before="120" w:line="240" w:lineRule="auto"/>
        <w:jc w:val="both"/>
        <w:rPr>
          <w:b/>
          <w:bCs/>
          <w:lang w:val="fr-CA"/>
        </w:rPr>
      </w:pPr>
      <w:r>
        <w:rPr>
          <w:b/>
          <w:bCs/>
          <w:lang w:val="fr-CA"/>
        </w:rPr>
        <w:t xml:space="preserve">Le montant total du présent placement, combiné au montant de tous les autres placements effectués sous le régime de la dispense pour financement de l’émetteur coté au cours des 12 mois ayant précédé immédiatement la date du présent document d’offre, n’excédera pas 5 000 000 $. </w:t>
      </w:r>
    </w:p>
    <w:p>
      <w:pPr>
        <w:pStyle w:val="Bullet1"/>
        <w:spacing w:before="120" w:line="240" w:lineRule="auto"/>
        <w:jc w:val="both"/>
        <w:rPr>
          <w:b/>
          <w:bCs/>
          <w:lang w:val="fr-CA"/>
        </w:rPr>
      </w:pPr>
      <w:r>
        <w:rPr>
          <w:b/>
          <w:bCs/>
          <w:lang w:val="fr-CA"/>
        </w:rPr>
        <w:t xml:space="preserve">Il ne clora le présent placement que s’il estime raisonnablement avoir recueilli des fonds suffisants pour atteindre ses objectifs commerciaux et répondre à tous ses besoins de trésorerie pendant les 12 mois suivants. </w:t>
      </w:r>
    </w:p>
    <w:p>
      <w:pPr>
        <w:pStyle w:val="Bullet1"/>
        <w:spacing w:before="120" w:line="240" w:lineRule="auto"/>
        <w:jc w:val="both"/>
        <w:rPr>
          <w:b/>
          <w:bCs/>
          <w:lang w:val="fr-CA"/>
        </w:rPr>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titlePg/>
          <w:docGrid w:linePitch="360"/>
        </w:sectPr>
      </w:pPr>
      <w:r>
        <w:rPr>
          <w:b/>
          <w:bCs/>
          <w:lang w:val="fr-CA"/>
        </w:rPr>
        <w:t>Il n’affectera les fonds disponibles tirés de ce placement à aucune acquisition qui est une acquisition significative ou une opération de restructuration en vertu de la législation en valeurs mobilières, ni à aucune autre opération pour laquelle il demande l’approbation de porteurs de titres.</w:t>
      </w:r>
    </w:p>
    <w:bookmarkEnd w:id="2"/>
    <w:p>
      <w:pPr>
        <w:pStyle w:val="Subtitle"/>
        <w:spacing w:line="240" w:lineRule="auto"/>
        <w:jc w:val="center"/>
        <w:rPr>
          <w:lang w:val="fr-CA"/>
        </w:rPr>
      </w:pPr>
      <w:r>
        <w:rPr>
          <w:lang w:val="fr-CA"/>
        </w:rPr>
        <w:lastRenderedPageBreak/>
        <w:t>MISE EN GARDE RELATIVE À L’INFORMATION PROSPECTIVE</w:t>
      </w:r>
    </w:p>
    <w:p>
      <w:pPr>
        <w:pStyle w:val="TextJustified"/>
        <w:spacing w:line="240" w:lineRule="auto"/>
        <w:rPr>
          <w:lang w:val="fr-CA"/>
        </w:rPr>
      </w:pPr>
      <w:r>
        <w:rPr>
          <w:lang w:val="fr-CA"/>
        </w:rPr>
        <w:t>Le présent document d’offre renferme de l’« information prospective » au sens des lois sur les valeurs mobilières canadiennes applicables. Cette information repose sur les attentes, les estimations, les projections, les hypothèses et les convictions internes actuelles de la Société. L’information prospective qui figure dans le présent document d’offre est arrêtée à la date de celui</w:t>
      </w:r>
      <w:r>
        <w:rPr>
          <w:lang w:val="fr-CA"/>
        </w:rPr>
        <w:noBreakHyphen/>
        <w:t xml:space="preserve">ci. Les </w:t>
      </w:r>
      <w:r>
        <w:rPr>
          <w:rFonts w:eastAsia="Calibri"/>
          <w:color w:val="000000"/>
          <w:szCs w:val="22"/>
          <w:lang w:val="fr-CA"/>
        </w:rPr>
        <w:t xml:space="preserve">énoncés prospectifs et l’information prospective qui figurent dans les présentes se rapportent notamment aux efforts de développement que Victory déploie actuellement et qu’elle déploiera à l’avenir, y compris les échéanciers et les frais prévus connexes, aux partenariats conclus par Victory et aux avantages qu’elle s’attend à en tirer, aux attentes de Victory en matière de financement, aux attentes de Victory en ce qui a trait à l’emploi du produit et à l’emploi des fonds disponibles après la réalisation du présent placement, à la réalisation du présent placement et du placement simultané et à la date de clôture prévue. Les énoncés prospectifs ou l’information prospective traitent d’événements et de résultats futurs et comprennent des énoncés sur les attentes et les convictions de la direction qui sont fondées sur les </w:t>
      </w:r>
      <w:r>
        <w:rPr>
          <w:rFonts w:eastAsia="Calibri" w:cs="Arial"/>
          <w:color w:val="000000"/>
          <w:szCs w:val="22"/>
          <w:lang w:val="fr-CA"/>
        </w:rPr>
        <w:t>renseignements</w:t>
      </w:r>
      <w:r>
        <w:rPr>
          <w:rFonts w:eastAsia="Calibri"/>
          <w:color w:val="000000"/>
          <w:szCs w:val="22"/>
          <w:lang w:val="fr-CA"/>
        </w:rPr>
        <w:t xml:space="preserve"> dont la Société dispose actuellement. Ces énoncés prospectifs et cette information prospective sont souvent, mais pas toujours, signalés par l’utilisation de termes tels que </w:t>
      </w:r>
      <w:r>
        <w:rPr>
          <w:lang w:val="fr-CA"/>
        </w:rPr>
        <w:t>« prévoir », « s’attendre à », « éventuel », « ciblé », « budget », « échéancier », « estimer », « prévoir » ou « avoir l’intention de », ou par la forme négative ou des variantes de ces termes, ou par l’utilisation du futur ou du conditionnel.</w:t>
      </w:r>
    </w:p>
    <w:p>
      <w:pPr>
        <w:pStyle w:val="TextJustified"/>
        <w:spacing w:line="240" w:lineRule="auto"/>
        <w:rPr>
          <w:rFonts w:eastAsia="Calibri"/>
          <w:color w:val="000000"/>
          <w:szCs w:val="22"/>
          <w:lang w:val="fr-CA"/>
        </w:rPr>
      </w:pPr>
      <w:r>
        <w:rPr>
          <w:lang w:val="fr-CA"/>
        </w:rPr>
        <w:t xml:space="preserve">Les </w:t>
      </w:r>
      <w:r>
        <w:rPr>
          <w:rFonts w:eastAsia="Calibri"/>
          <w:color w:val="000000"/>
          <w:szCs w:val="22"/>
          <w:lang w:val="fr-CA"/>
        </w:rPr>
        <w:t>énoncés prospectifs</w:t>
      </w:r>
      <w:r>
        <w:rPr>
          <w:lang w:val="fr-CA"/>
        </w:rPr>
        <w:t xml:space="preserve"> ou l’information prospective comportent divers risques et incertitudes qui pourraient faire en sorte que les événements qui se produiront effectivement ou les résultats qui seront effectivement obtenus diffèrent de ceux dont il est question dans ces énoncés ou cette information, y compris les risques relatifs à la mesure dans laquelle </w:t>
      </w:r>
      <w:r>
        <w:rPr>
          <w:rFonts w:eastAsia="Calibri"/>
          <w:color w:val="000000"/>
          <w:szCs w:val="22"/>
          <w:lang w:val="fr-CA"/>
        </w:rPr>
        <w:t xml:space="preserve">Victory pourra obtenir le financement nécessaire et à l’incidence générale de la conjoncture des marchés financiers, à la demande que susciteront les services de Victory, au succès des efforts de développement que Victory déploie actuellement et qu’elle déploiera à l’avenir, à l’évolution du prix des produits de base requis, à la volatilité des marchés des capitaux, à la concurrence, à la réglementation gouvernementale, aux conflits d’intérêts éventuels, à l’instabilité politique, à l’hyperinflation, au coronavirus, aux opérations militaires que la Russie mène en Ukraine, aux litiges, à la volatilité du cours des actions ordinaires, à la dilution éventuelle de la participation des </w:t>
      </w:r>
      <w:r>
        <w:rPr>
          <w:rFonts w:eastAsia="Arial"/>
          <w:color w:val="000000"/>
          <w:szCs w:val="22"/>
          <w:lang w:val="fr-CA"/>
        </w:rPr>
        <w:t>actionnaires</w:t>
      </w:r>
      <w:r>
        <w:rPr>
          <w:rFonts w:eastAsia="Calibri"/>
          <w:color w:val="000000"/>
          <w:szCs w:val="22"/>
          <w:lang w:val="fr-CA"/>
        </w:rPr>
        <w:t xml:space="preserve"> actuels et éventuels, aux cours du change, aux normes de présentation de l’information financière et aux changements climatiques. Cette liste de facteurs n’est pas exhaustive. L’information prospective comprend des énoncés sur ce qui pourrait se produire à l’avenir et comporte, de par sa nature, une part d’incertitude. Par conséquent, les résultats que la Société obtiendra effectivement ou les autres événements ou situations qui se produiront à l’avenir pourraient différer considérablement de ceux dont il est question dans l’information prospective en raison d’une variété de risques, d’incertitudes et d’autres facteurs, y compris ceux dont il est question dans les documents que la Société a déposés sur SEDAR, que l’on peut consulter au </w:t>
      </w:r>
      <w:hyperlink r:id="rId15" w:history="1">
        <w:r>
          <w:rPr>
            <w:rStyle w:val="Hyperlink"/>
            <w:rFonts w:eastAsia="Calibri"/>
            <w:color w:val="auto"/>
            <w:szCs w:val="22"/>
            <w:lang w:val="fr-CA"/>
          </w:rPr>
          <w:t>www.sedar.com</w:t>
        </w:r>
      </w:hyperlink>
      <w:r>
        <w:rPr>
          <w:rFonts w:eastAsia="Calibri"/>
          <w:szCs w:val="22"/>
          <w:lang w:val="fr-CA"/>
        </w:rPr>
        <w:t>.</w:t>
      </w:r>
      <w:r>
        <w:rPr>
          <w:rFonts w:eastAsia="Calibri"/>
          <w:color w:val="000000"/>
          <w:szCs w:val="22"/>
          <w:lang w:val="fr-CA"/>
        </w:rPr>
        <w:t xml:space="preserve"> </w:t>
      </w:r>
    </w:p>
    <w:p>
      <w:pPr>
        <w:pStyle w:val="TextJustified"/>
        <w:spacing w:line="240" w:lineRule="auto"/>
        <w:rPr>
          <w:lang w:val="fr-CA"/>
        </w:rPr>
      </w:pPr>
      <w:r>
        <w:rPr>
          <w:rFonts w:eastAsia="Calibri"/>
          <w:color w:val="000000"/>
          <w:szCs w:val="22"/>
          <w:lang w:val="fr-CA"/>
        </w:rPr>
        <w:t xml:space="preserve">La Société ne garantit pas que les énoncés prospectifs ou l’information prospective se révéleront exacts, étant donné que les résultats qui seront effectivement obtenus et les événements qui se produiront à l’avenir pourraient différer considérablement de ceux qui sont prévus par ces énoncés et cette information. Par conséquent, les lecteurs ne devraient pas se fier indument aux énoncés prospectifs et à l’information prospective. Les énoncés prospectifs sont valides uniquement à la date à laquelle ils sont faits et, sauf si les lois sur les valeurs mobilières applicables l’exigent, la Société décline toute intention ou obligation de mettre à jour quelque élément que ce soit de l’information prospective, que ce soit pour tenir compte de nouveaux </w:t>
      </w:r>
      <w:r>
        <w:rPr>
          <w:rFonts w:eastAsia="Calibri" w:cs="Arial"/>
          <w:color w:val="000000"/>
          <w:szCs w:val="22"/>
          <w:lang w:val="fr-CA"/>
        </w:rPr>
        <w:t>renseignements</w:t>
      </w:r>
      <w:r>
        <w:rPr>
          <w:rFonts w:eastAsia="Calibri"/>
          <w:color w:val="000000"/>
          <w:szCs w:val="22"/>
          <w:lang w:val="fr-CA"/>
        </w:rPr>
        <w:t xml:space="preserve"> ou de l’évolution des circonstances ou pour un autre motif.</w:t>
      </w:r>
    </w:p>
    <w:p>
      <w:pPr>
        <w:pStyle w:val="Subtitle"/>
        <w:spacing w:line="240" w:lineRule="auto"/>
        <w:jc w:val="center"/>
        <w:rPr>
          <w:lang w:val="fr-CA"/>
        </w:rPr>
      </w:pPr>
      <w:r>
        <w:rPr>
          <w:lang w:val="fr-CA"/>
        </w:rPr>
        <w:t>DESCRIPTION SOMMAIRE DES ACTIVITÉS</w:t>
      </w:r>
    </w:p>
    <w:p>
      <w:pPr>
        <w:pStyle w:val="Subtitle"/>
        <w:spacing w:line="240" w:lineRule="auto"/>
        <w:rPr>
          <w:lang w:val="fr-CA"/>
        </w:rPr>
      </w:pPr>
      <w:r>
        <w:rPr>
          <w:lang w:val="fr-CA"/>
        </w:rPr>
        <w:t>Quelles sont nos activités?</w:t>
      </w:r>
    </w:p>
    <w:p>
      <w:pPr>
        <w:pStyle w:val="TextJustified"/>
        <w:spacing w:line="240" w:lineRule="auto"/>
        <w:rPr>
          <w:rFonts w:eastAsia="Calibri"/>
          <w:color w:val="000000"/>
          <w:szCs w:val="22"/>
          <w:lang w:val="fr-CA"/>
        </w:rPr>
      </w:pPr>
      <w:r>
        <w:rPr>
          <w:rFonts w:eastAsia="Calibri"/>
          <w:color w:val="000000"/>
          <w:szCs w:val="22"/>
          <w:lang w:val="fr-CA"/>
        </w:rPr>
        <w:t>Victory est une jeune société minière internationale cotée en bourse qui a des intérêts en Amérique du Nord. Elle développe actuellement ses projets en cours, principalement le terrain recelant du lithium Smokey, au Nevada, qui est adjacent au terrain phare d’American Lithium, et le terrain Mal</w:t>
      </w:r>
      <w:r>
        <w:rPr>
          <w:rFonts w:eastAsia="Calibri"/>
          <w:color w:val="000000"/>
          <w:szCs w:val="22"/>
          <w:lang w:val="fr-CA"/>
        </w:rPr>
        <w:noBreakHyphen/>
        <w:t>Wen, en Colombie</w:t>
      </w:r>
      <w:r>
        <w:rPr>
          <w:rFonts w:eastAsia="Calibri"/>
          <w:color w:val="000000"/>
          <w:szCs w:val="22"/>
          <w:lang w:val="fr-CA"/>
        </w:rPr>
        <w:noBreakHyphen/>
        <w:t>Britannique, ainsi que le terrain du lac Tahlo, dans le district porphyrique cupro</w:t>
      </w:r>
      <w:r>
        <w:rPr>
          <w:rFonts w:eastAsia="Calibri"/>
          <w:color w:val="000000"/>
          <w:szCs w:val="22"/>
          <w:lang w:val="fr-CA"/>
        </w:rPr>
        <w:noBreakHyphen/>
        <w:t>aurifère Babine, en Colombie</w:t>
      </w:r>
      <w:r>
        <w:rPr>
          <w:rFonts w:eastAsia="Calibri"/>
          <w:color w:val="000000"/>
          <w:szCs w:val="22"/>
          <w:lang w:val="fr-CA"/>
        </w:rPr>
        <w:noBreakHyphen/>
        <w:t xml:space="preserve">Britannique, les terrains Stingray, qui sont adjacents au terrain Corvette de Patriot </w:t>
      </w:r>
      <w:r>
        <w:rPr>
          <w:rFonts w:eastAsia="Calibri"/>
          <w:color w:val="000000"/>
          <w:szCs w:val="22"/>
          <w:lang w:val="fr-CA"/>
        </w:rPr>
        <w:lastRenderedPageBreak/>
        <w:t>Battery Metal, le projet de nickel du Saguenay, au Québec, le projet d’extraction de lithium du lac Georgia, en Ontario, le projet Black Diablo, au Nevada, et le projet du lac Simard, au Québec, qui se trouve dans un rayon de 20 kilomètres de trois mines aurifères en exploitation, y compris la mine Goldex d’Agnico Eagle, les mines de Canadian Malartic et la mine Lamaque d’Eldorado Gold.</w:t>
      </w:r>
    </w:p>
    <w:p>
      <w:pPr>
        <w:pStyle w:val="TextJustified"/>
        <w:spacing w:line="240" w:lineRule="auto"/>
        <w:rPr>
          <w:lang w:val="fr-CA"/>
        </w:rPr>
      </w:pPr>
      <w:r>
        <w:rPr>
          <w:rFonts w:eastAsia="Calibri"/>
          <w:color w:val="000000"/>
          <w:szCs w:val="22"/>
          <w:lang w:val="fr-CA"/>
        </w:rPr>
        <w:t xml:space="preserve">La demande que suscitent les métaux entrant dans la fabrication de batteries continue de croître avec l’arrivée des véhicules électriques et les modèles économiques relatifs à l’or, à l’argent et aux métaux précieux se renforcent, ce qui rend les projets miniers plus intéressants sur le plan économique. Victory axe ses activités sur des projets d’exploration de premier plan </w:t>
      </w:r>
      <w:r>
        <w:rPr>
          <w:rFonts w:eastAsia="Arial"/>
          <w:color w:val="000000"/>
          <w:szCs w:val="22"/>
          <w:lang w:val="fr-CA"/>
        </w:rPr>
        <w:t>qui sont susceptibles d’offrir une plus</w:t>
      </w:r>
      <w:r>
        <w:rPr>
          <w:rFonts w:eastAsia="Arial"/>
          <w:color w:val="000000"/>
          <w:szCs w:val="22"/>
          <w:lang w:val="fr-CA"/>
        </w:rPr>
        <w:noBreakHyphen/>
        <w:t>value notable à ses actionnaires</w:t>
      </w:r>
      <w:r>
        <w:rPr>
          <w:rFonts w:eastAsia="Calibri"/>
          <w:color w:val="000000"/>
          <w:szCs w:val="22"/>
          <w:lang w:val="fr-CA"/>
        </w:rPr>
        <w:t xml:space="preserve">. Dans le cadre de ses activités d’exploration en vue de trouver du lithium, de l’or, de l’argent et des métaux précieux, elle recherche des régions qui sont propices à l’exploitation minière en raison de la nature de la réglementation du gouvernement en place et du fait qu’on y trouve déjà les infrastructures nécessaires ainsi que des emplacements géographiques qui, collectivement, lui permettront d’effectuer des travaux d’exploration et de développement à l’année longue. </w:t>
      </w:r>
    </w:p>
    <w:p>
      <w:pPr>
        <w:pStyle w:val="Subtitle"/>
        <w:spacing w:line="240" w:lineRule="auto"/>
        <w:rPr>
          <w:lang w:val="fr-CA"/>
        </w:rPr>
      </w:pPr>
      <w:r>
        <w:rPr>
          <w:lang w:val="fr-CA"/>
        </w:rPr>
        <w:t>Événements récents</w:t>
      </w:r>
    </w:p>
    <w:p>
      <w:pPr>
        <w:pStyle w:val="TextJustified"/>
        <w:spacing w:line="240" w:lineRule="auto"/>
        <w:rPr>
          <w:lang w:val="fr-CA"/>
        </w:rPr>
      </w:pPr>
      <w:r>
        <w:rPr>
          <w:u w:val="single"/>
          <w:lang w:val="fr-CA"/>
        </w:rPr>
        <w:t>Claims supplémentaires visant les terrains Stingray</w:t>
      </w:r>
      <w:r>
        <w:rPr>
          <w:lang w:val="fr-CA"/>
        </w:rPr>
        <w:t xml:space="preserve"> – Le 11 octobre 2022, la Société a annoncé qu’elle avait acquis et jalonné des claims supplémentaires dans le district de lithium de la baie James, au </w:t>
      </w:r>
      <w:r>
        <w:rPr>
          <w:rFonts w:eastAsia="Calibri"/>
          <w:color w:val="000000"/>
          <w:szCs w:val="22"/>
          <w:lang w:val="fr-CA"/>
        </w:rPr>
        <w:t>Québec</w:t>
      </w:r>
      <w:r>
        <w:rPr>
          <w:lang w:val="fr-CA"/>
        </w:rPr>
        <w:t xml:space="preserve">, ce qui porte les 44 claims annoncés en juillet 2022 à un nombre total de 49 claims non contigus acquis, jalonnés et déposés. Les claims supplémentaires augmentent la superficie du groupe de terrains Stingray de la Société au </w:t>
      </w:r>
      <w:r>
        <w:rPr>
          <w:rFonts w:eastAsia="Calibri"/>
          <w:color w:val="000000"/>
          <w:szCs w:val="22"/>
          <w:lang w:val="fr-CA"/>
        </w:rPr>
        <w:t>Québec</w:t>
      </w:r>
      <w:r>
        <w:rPr>
          <w:lang w:val="fr-CA"/>
        </w:rPr>
        <w:t xml:space="preserve"> au sud et dans la partie adjacente au terrain Corvette de Patriot Battery Metals. L’équipe responsable des travaux d’exploration de </w:t>
      </w:r>
      <w:r>
        <w:rPr>
          <w:rFonts w:eastAsia="Calibri"/>
          <w:color w:val="000000"/>
          <w:szCs w:val="22"/>
          <w:lang w:val="fr-CA"/>
        </w:rPr>
        <w:t>Victory continue d’évaluer d’autres claims dans la région et entend effectuer des levés géologiques et géochimiques de surface ainsi qu’un levé géophysique aérien des claims visant les terrains Stingray.</w:t>
      </w:r>
    </w:p>
    <w:p>
      <w:pPr>
        <w:pStyle w:val="TextJustified"/>
        <w:spacing w:line="240" w:lineRule="auto"/>
        <w:rPr>
          <w:lang w:val="fr-CA"/>
        </w:rPr>
      </w:pPr>
      <w:r>
        <w:rPr>
          <w:u w:val="single"/>
          <w:lang w:val="fr-CA"/>
        </w:rPr>
        <w:t>Placement privé</w:t>
      </w:r>
      <w:r>
        <w:rPr>
          <w:lang w:val="fr-CA"/>
        </w:rPr>
        <w:t xml:space="preserve"> – Le 17 octobre 2022, </w:t>
      </w:r>
      <w:r>
        <w:rPr>
          <w:rFonts w:eastAsia="Calibri"/>
          <w:color w:val="000000"/>
          <w:szCs w:val="22"/>
          <w:lang w:val="fr-CA"/>
        </w:rPr>
        <w:t>Victory a annoncé qu’elle réalisait un placement privé sans intermédiaire visant des unités accréditives (les </w:t>
      </w:r>
      <w:r>
        <w:rPr>
          <w:rFonts w:eastAsia="Calibri"/>
          <w:color w:val="000000"/>
          <w:lang w:val="fr-CA"/>
        </w:rPr>
        <w:t>« </w:t>
      </w:r>
      <w:r>
        <w:rPr>
          <w:rFonts w:eastAsia="Calibri"/>
          <w:b/>
          <w:bCs/>
          <w:color w:val="000000"/>
          <w:lang w:val="fr-CA"/>
        </w:rPr>
        <w:t>unités accréditives</w:t>
      </w:r>
      <w:r>
        <w:rPr>
          <w:rFonts w:eastAsia="Calibri"/>
          <w:color w:val="000000"/>
          <w:lang w:val="fr-CA"/>
        </w:rPr>
        <w:t> ») et des unités non accréditives</w:t>
      </w:r>
      <w:r>
        <w:rPr>
          <w:rFonts w:eastAsia="Calibri"/>
          <w:color w:val="000000"/>
          <w:szCs w:val="22"/>
          <w:lang w:val="fr-CA"/>
        </w:rPr>
        <w:t xml:space="preserve"> jusqu’à concurrence de 2 000 000 $</w:t>
      </w:r>
      <w:r>
        <w:rPr>
          <w:rFonts w:eastAsia="Calibri"/>
          <w:color w:val="000000"/>
          <w:lang w:val="fr-CA"/>
        </w:rPr>
        <w:t xml:space="preserve">. Les unités accréditives ont été placées au prix de 0,05 $ chacune et se composaient d’une action ordinaire et d’un </w:t>
      </w:r>
      <w:r>
        <w:rPr>
          <w:rFonts w:eastAsia="Arial"/>
          <w:color w:val="000000"/>
          <w:spacing w:val="-3"/>
          <w:lang w:val="fr-CA"/>
        </w:rPr>
        <w:t>bon de souscription</w:t>
      </w:r>
      <w:r>
        <w:rPr>
          <w:rFonts w:eastAsia="Calibri"/>
          <w:color w:val="000000"/>
          <w:lang w:val="fr-CA"/>
        </w:rPr>
        <w:t xml:space="preserve"> </w:t>
      </w:r>
      <w:r>
        <w:rPr>
          <w:rFonts w:eastAsia="Arial"/>
          <w:color w:val="000000"/>
          <w:spacing w:val="-3"/>
          <w:lang w:val="fr-CA"/>
        </w:rPr>
        <w:t xml:space="preserve">d’actions ordinaires pouvant être exercé au prix de 0,07 $ pendant une période de 24 mois. Les unités non accréditives se composaient d’une action ordinaire de la Société placée au prix de 0,022 $ et d’un bon de souscription d’actions ordinaires pouvant être exercé au prix de 0,05 $ pendant une période de 24 mois. La Société se réservait le droit de devancer la date d’expiration des bons de souscription sur remise d’un préavis de 30 jours si les actions étaient négociées au prix de 0,15 $ pendant une période de 10 jours consécutifs, y compris ceux où aucune opération ne serait effectuée sur ces actions. Le 9 novembre 2022, </w:t>
      </w:r>
      <w:r>
        <w:rPr>
          <w:rFonts w:eastAsia="Calibri"/>
          <w:color w:val="000000"/>
          <w:spacing w:val="-3"/>
          <w:szCs w:val="22"/>
          <w:lang w:val="fr-CA"/>
        </w:rPr>
        <w:t>Victory a annoncé qu’elle avait procédé à la clôture de ces placements privés, acceptant des souscriptions visant 7 825 000 unités au prix de 0,022 $ chacune, ce qui lui a permis de réunir un produit brut de 172 150 $. La Société a versé une commission d’intermédiaire de 3 520 $ à un intermédiaire qualifié et a émis 160 000 </w:t>
      </w:r>
      <w:r>
        <w:rPr>
          <w:rFonts w:eastAsia="Arial"/>
          <w:color w:val="000000"/>
          <w:spacing w:val="-3"/>
          <w:szCs w:val="22"/>
          <w:lang w:val="fr-CA"/>
        </w:rPr>
        <w:t>bons de souscription</w:t>
      </w:r>
      <w:r>
        <w:rPr>
          <w:rFonts w:eastAsia="Calibri"/>
          <w:color w:val="000000"/>
          <w:spacing w:val="-3"/>
          <w:szCs w:val="22"/>
          <w:lang w:val="fr-CA"/>
        </w:rPr>
        <w:t xml:space="preserve"> à des courtiers.</w:t>
      </w:r>
    </w:p>
    <w:p>
      <w:pPr>
        <w:pStyle w:val="TextJustified"/>
        <w:spacing w:line="240" w:lineRule="auto"/>
        <w:rPr>
          <w:lang w:val="fr-CA"/>
        </w:rPr>
      </w:pPr>
      <w:r>
        <w:rPr>
          <w:u w:val="single"/>
          <w:lang w:val="fr-CA"/>
        </w:rPr>
        <w:t>Zone d’intérêt recelant du lithium Smokey et plan de développement</w:t>
      </w:r>
      <w:r>
        <w:rPr>
          <w:lang w:val="fr-CA"/>
        </w:rPr>
        <w:t xml:space="preserve"> – Le 20 octobre 2022, </w:t>
      </w:r>
      <w:r>
        <w:rPr>
          <w:rFonts w:eastAsia="Calibri"/>
          <w:color w:val="000000"/>
          <w:szCs w:val="22"/>
          <w:lang w:val="fr-CA"/>
        </w:rPr>
        <w:t>Victory a annoncé que son équipe responsable des travaux d’exploration avait effectué des travaux approfondis en vue de délimiter le gisement de lithium théorique sur le terrain Smokey et évalué les résultats de ces travaux, qui englobaient des levés sur le terrain, de l’échantillonnage de surface et le forage de trous qui avaient pour but de confirmer si l’argile minéralisée était accessible sur le terrain de Victory. Après la réalisation du programme de forage, cette équipe a effectué des levés de surface détaillés supplémentaires et analysé les résultats du titrage et a effectué un levé sismique au moyen d’un sismomètre enregistreur Tromino. Par conséquent, la Société a élaboré des cartes exclusives indiquant des coupes transversales visuellement très détaillées afin de comprendre la formation de failles qui délimite les contours de gisement. La Société a repéré ce qu’elle appelle une zone présentant un degré de confiance élevé d’environ deux à trois kilomètres carrés où il est très probable que les travaux de forage entrecoupent de l’argile riche en lithium, ce qui pourrait indiquer un potentiel de ressources inexploitées. La Société a jalonné 91 claims supplémentaires dans une nouvelle zone d’intérêt contiguë à la partie sud du bloc de claims initial.</w:t>
      </w:r>
    </w:p>
    <w:p>
      <w:pPr>
        <w:pStyle w:val="TextJustified"/>
        <w:spacing w:line="240" w:lineRule="auto"/>
        <w:rPr>
          <w:lang w:val="fr-CA"/>
        </w:rPr>
      </w:pPr>
      <w:r>
        <w:rPr>
          <w:u w:val="single"/>
          <w:lang w:val="fr-CA"/>
        </w:rPr>
        <w:t>Jalonnement du terrain du lac Tahlo</w:t>
      </w:r>
      <w:r>
        <w:rPr>
          <w:lang w:val="fr-CA"/>
        </w:rPr>
        <w:t xml:space="preserve"> – Le 15 novembre 2022, </w:t>
      </w:r>
      <w:r>
        <w:rPr>
          <w:rFonts w:eastAsia="Calibri"/>
          <w:color w:val="000000"/>
          <w:szCs w:val="22"/>
          <w:lang w:val="fr-CA"/>
        </w:rPr>
        <w:t>Victory a annoncé qu’elle avait jalonné le terrain du lac Tahlo, dans le district porphyrique cupro</w:t>
      </w:r>
      <w:r>
        <w:rPr>
          <w:rFonts w:eastAsia="Calibri"/>
          <w:color w:val="000000"/>
          <w:szCs w:val="22"/>
          <w:lang w:val="fr-CA"/>
        </w:rPr>
        <w:noBreakHyphen/>
        <w:t>aurifère prolifique Babine, en Colombie</w:t>
      </w:r>
      <w:r>
        <w:rPr>
          <w:rFonts w:eastAsia="Calibri"/>
          <w:color w:val="000000"/>
          <w:szCs w:val="22"/>
          <w:lang w:val="fr-CA"/>
        </w:rPr>
        <w:noBreakHyphen/>
        <w:t xml:space="preserve">Britannique. </w:t>
      </w:r>
      <w:r>
        <w:rPr>
          <w:rFonts w:eastAsia="Calibri"/>
          <w:color w:val="000000"/>
          <w:szCs w:val="22"/>
          <w:lang w:val="fr-CA"/>
        </w:rPr>
        <w:lastRenderedPageBreak/>
        <w:t>Ce terrain a une superficie de 735 hectares et se trouve à 11 kilomètres au nord</w:t>
      </w:r>
      <w:r>
        <w:rPr>
          <w:rFonts w:eastAsia="Calibri"/>
          <w:color w:val="000000"/>
          <w:szCs w:val="22"/>
          <w:lang w:val="fr-CA"/>
        </w:rPr>
        <w:noBreakHyphen/>
        <w:t>ouest du terrain NAK d’American Eagle Gold Corp. et à 19 kilomètres au nord</w:t>
      </w:r>
      <w:r>
        <w:rPr>
          <w:rFonts w:eastAsia="Calibri"/>
          <w:color w:val="000000"/>
          <w:szCs w:val="22"/>
          <w:lang w:val="fr-CA"/>
        </w:rPr>
        <w:noBreakHyphen/>
        <w:t>ouest du gisement Morrison. Il est adjacent à la même faille d’orientation nord</w:t>
      </w:r>
      <w:r>
        <w:rPr>
          <w:rFonts w:eastAsia="Calibri"/>
          <w:color w:val="000000"/>
          <w:szCs w:val="22"/>
          <w:lang w:val="fr-CA"/>
        </w:rPr>
        <w:noBreakHyphen/>
        <w:t>nord</w:t>
      </w:r>
      <w:r>
        <w:rPr>
          <w:rFonts w:eastAsia="Calibri"/>
          <w:color w:val="000000"/>
          <w:szCs w:val="22"/>
          <w:lang w:val="fr-CA"/>
        </w:rPr>
        <w:noBreakHyphen/>
        <w:t>ouest que suit le gisement Morrison et repose sur des roches du groupe d’Hazelton du Jurassique. Un échantillon de limon régional qui a fait l’objet d’un levé géochimique a affiché une teneur en cuivre supérieure au 96</w:t>
      </w:r>
      <w:r>
        <w:rPr>
          <w:rFonts w:eastAsia="Calibri"/>
          <w:color w:val="000000"/>
          <w:szCs w:val="22"/>
          <w:vertAlign w:val="superscript"/>
          <w:lang w:val="fr-CA"/>
        </w:rPr>
        <w:t>e</w:t>
      </w:r>
      <w:r>
        <w:rPr>
          <w:rFonts w:eastAsia="Calibri"/>
          <w:color w:val="000000"/>
          <w:szCs w:val="22"/>
          <w:lang w:val="fr-CA"/>
        </w:rPr>
        <w:t> centile et une teneur en zinc supérieure au 98</w:t>
      </w:r>
      <w:r>
        <w:rPr>
          <w:rFonts w:eastAsia="Calibri"/>
          <w:color w:val="000000"/>
          <w:szCs w:val="22"/>
          <w:vertAlign w:val="superscript"/>
          <w:lang w:val="fr-CA"/>
        </w:rPr>
        <w:t>e</w:t>
      </w:r>
      <w:r>
        <w:rPr>
          <w:rFonts w:eastAsia="Calibri"/>
          <w:color w:val="000000"/>
          <w:szCs w:val="22"/>
          <w:lang w:val="fr-CA"/>
        </w:rPr>
        <w:t> centile. Un échantillon de till régional a affiché une teneur en cuivre élevée, une teneur en zinc extrêmement irrégulière et une teneur en or supérieure au 95</w:t>
      </w:r>
      <w:r>
        <w:rPr>
          <w:rFonts w:eastAsia="Calibri"/>
          <w:color w:val="000000"/>
          <w:szCs w:val="22"/>
          <w:vertAlign w:val="superscript"/>
          <w:lang w:val="fr-CA"/>
        </w:rPr>
        <w:t>e</w:t>
      </w:r>
      <w:r>
        <w:rPr>
          <w:rFonts w:eastAsia="Calibri"/>
          <w:color w:val="000000"/>
          <w:szCs w:val="22"/>
          <w:lang w:val="fr-CA"/>
        </w:rPr>
        <w:t> centile. Un autre échantillon de till prélevé sur place a affiché une teneur en or de 49 parties par milliard, ce qui est supérieur au 98</w:t>
      </w:r>
      <w:r>
        <w:rPr>
          <w:rFonts w:eastAsia="Calibri"/>
          <w:color w:val="000000"/>
          <w:szCs w:val="22"/>
          <w:vertAlign w:val="superscript"/>
          <w:lang w:val="fr-CA"/>
        </w:rPr>
        <w:t>e</w:t>
      </w:r>
      <w:r>
        <w:rPr>
          <w:rFonts w:eastAsia="Calibri"/>
          <w:color w:val="000000"/>
          <w:szCs w:val="22"/>
          <w:lang w:val="fr-CA"/>
        </w:rPr>
        <w:t> centile pour la région.</w:t>
      </w:r>
    </w:p>
    <w:p>
      <w:pPr>
        <w:pStyle w:val="TextJustified"/>
        <w:spacing w:line="240" w:lineRule="auto"/>
        <w:rPr>
          <w:lang w:val="fr-CA"/>
        </w:rPr>
      </w:pPr>
      <w:r>
        <w:rPr>
          <w:u w:val="single"/>
          <w:lang w:val="fr-CA"/>
        </w:rPr>
        <w:t>Claims supplémentaires visant les terrains Stingray</w:t>
      </w:r>
      <w:r>
        <w:rPr>
          <w:lang w:val="fr-CA"/>
        </w:rPr>
        <w:t xml:space="preserve"> – Le 29 novembre 2022, la Société a annoncé qu’elle avait acquis et jalonné 17 claims supplémentaires dans le district de lithium de la baie James, au </w:t>
      </w:r>
      <w:r>
        <w:rPr>
          <w:rFonts w:eastAsia="Calibri"/>
          <w:color w:val="000000"/>
          <w:szCs w:val="22"/>
          <w:lang w:val="fr-CA"/>
        </w:rPr>
        <w:t>Québec</w:t>
      </w:r>
      <w:r>
        <w:rPr>
          <w:lang w:val="fr-CA"/>
        </w:rPr>
        <w:t>, ce qui porte les 49 claims annoncés en octobre 2022 à un nombre total de 66 claims non contigus acquis, jalonnés et déposés. La Société a acquis la propriété exclusive de ces claims en contrepartie de la somme en espèces de 7 000 $ et d’un nombre total de 2,8 millions d’actions. La majeure partie des nouveaux claims visant les terrains Stingray se trouvent le long de la même unité rocheuse que celle qui avait été cartographiée par Patriot Battery Metals Inc., qui renferme des pegmatites recelant du lithium d’une longueur pouvant aller jusqu’à 20 </w:t>
      </w:r>
      <w:r>
        <w:rPr>
          <w:rFonts w:eastAsia="Calibri"/>
          <w:color w:val="000000"/>
          <w:szCs w:val="22"/>
          <w:lang w:val="fr-CA"/>
        </w:rPr>
        <w:t>kilomètres</w:t>
      </w:r>
      <w:r>
        <w:rPr>
          <w:lang w:val="fr-CA"/>
        </w:rPr>
        <w:t xml:space="preserve"> et affichant une teneur en oxyde de lithium (Li</w:t>
      </w:r>
      <w:r>
        <w:rPr>
          <w:vertAlign w:val="subscript"/>
          <w:lang w:val="fr-CA"/>
        </w:rPr>
        <w:t>2</w:t>
      </w:r>
      <w:r>
        <w:rPr>
          <w:lang w:val="fr-CA"/>
        </w:rPr>
        <w:t xml:space="preserve">O) aussi élevée que 1 280 parties par million. </w:t>
      </w:r>
    </w:p>
    <w:p>
      <w:pPr>
        <w:pStyle w:val="TextJustified"/>
        <w:spacing w:line="240" w:lineRule="auto"/>
        <w:rPr>
          <w:lang w:val="fr-CA"/>
        </w:rPr>
      </w:pPr>
      <w:r>
        <w:rPr>
          <w:u w:val="single"/>
          <w:lang w:val="fr-CA"/>
        </w:rPr>
        <w:t>Emplacements de forage sur le terrain recelant du lithium Smokey, au Nevada</w:t>
      </w:r>
      <w:r>
        <w:rPr>
          <w:lang w:val="fr-CA"/>
        </w:rPr>
        <w:t xml:space="preserve"> – Le 14 décembre 2022, </w:t>
      </w:r>
      <w:r>
        <w:rPr>
          <w:rFonts w:eastAsia="Calibri"/>
          <w:color w:val="000000"/>
          <w:szCs w:val="22"/>
          <w:lang w:val="fr-CA"/>
        </w:rPr>
        <w:t>Victory a annoncé que son équipe responsable des travaux d’exploration avait achevé un programme géologique sur place afin d’établir de façon définitive l’emplacement des trous de forage sur son terrain recelant du lithium Smokey, au Nevada. Le 18 janvier 2023, elle a annoncé qu’elle avait modifié et soumis de nouveau sa demande de permis de forage, y indiquant les nouveaux emplacements dans la nouvelle zone d’intérêt contiguë à la partie sud</w:t>
      </w:r>
      <w:r>
        <w:rPr>
          <w:rFonts w:eastAsia="Calibri"/>
          <w:color w:val="000000"/>
          <w:szCs w:val="22"/>
          <w:lang w:val="fr-CA"/>
        </w:rPr>
        <w:noBreakHyphen/>
        <w:t>ouest du bloc de claims initial sur le terrain recelant du lithium Smokey, comme elle l’avait annoncé le 20 octobre 2022. Le permis de forage modifié de Victory tient compte des nouvelles cibles de forage de grande qualité. Le programme projeté vise à prolonger la zone fortement minéralisée recelant du lithium qui avait été entrecoupée par le trou numéro 09 sur le terrain, laquelle se terminait par une zone fortement minéralisée recelant du lithium qui est encaissée dans de l’argilite à une profondeur de 417 pieds.</w:t>
      </w:r>
    </w:p>
    <w:p>
      <w:pPr>
        <w:pStyle w:val="TextJustified"/>
        <w:spacing w:line="240" w:lineRule="auto"/>
        <w:rPr>
          <w:rFonts w:eastAsia="Arial"/>
          <w:spacing w:val="-3"/>
          <w:lang w:val="fr-CA"/>
        </w:rPr>
      </w:pPr>
      <w:r>
        <w:rPr>
          <w:u w:val="single"/>
          <w:lang w:val="fr-CA"/>
        </w:rPr>
        <w:t>Regroupement d’actions et changement de dénomination</w:t>
      </w:r>
      <w:r>
        <w:rPr>
          <w:lang w:val="fr-CA"/>
        </w:rPr>
        <w:t xml:space="preserve"> – Le 22 décembre 2022, la Société a annoncé qu’elle avait l’intention de changer de dénomination, passant de « Victory Resources Corporation » à « Victory Battery Minerals Corporation », et de regrouper ses actions ordinaires à raison de trois (3) actions ordinaires préalables au regroupement contre une (1) action ordinaire postérieure au regroupement. Le conseil d’administration a approuvé le changement de dénomination et le regroupement des actions le 16 décembre 2022. La Société a également annoncé qu’elle avait l’intention de regrouper ses options et ses </w:t>
      </w:r>
      <w:r>
        <w:rPr>
          <w:rFonts w:eastAsia="Arial"/>
          <w:spacing w:val="-3"/>
          <w:lang w:val="fr-CA"/>
        </w:rPr>
        <w:t xml:space="preserve">bons de souscription en circulation à raison de trois (3) contre un (1), de façon à ce que chaque option et bon de souscription issu du regroupement donne à son porteur le droit d’acquérir une action ordinaire à un prix de levée ou d’exercice correspondant au triple du prix de levée ou d’exercice initial. Le changement de dénomination et le regroupement ont pris effet le 28 décembre 2022, la date de clôture des registres ayant été fixée au 29 décembre 2022. </w:t>
      </w:r>
    </w:p>
    <w:p>
      <w:pPr>
        <w:pStyle w:val="TextJustified"/>
        <w:spacing w:line="240" w:lineRule="auto"/>
        <w:rPr>
          <w:rFonts w:cs="Arial"/>
          <w:lang w:val="fr-CA"/>
        </w:rPr>
      </w:pPr>
      <w:r>
        <w:rPr>
          <w:u w:val="single"/>
          <w:lang w:val="fr-CA"/>
        </w:rPr>
        <w:t>Nouveaux claims visant des terrains situés à la baie James</w:t>
      </w:r>
      <w:r>
        <w:rPr>
          <w:lang w:val="fr-CA"/>
        </w:rPr>
        <w:t xml:space="preserve"> – Le 15 février </w:t>
      </w:r>
      <w:r>
        <w:rPr>
          <w:rFonts w:cs="Arial"/>
          <w:lang w:val="fr-CA"/>
        </w:rPr>
        <w:t xml:space="preserve">2023, la Société a annoncé qu’elle avait acquis 280 nouveaux claims </w:t>
      </w:r>
      <w:r>
        <w:rPr>
          <w:lang w:val="fr-CA"/>
        </w:rPr>
        <w:t>dans le district de lithium de la baie James</w:t>
      </w:r>
      <w:r>
        <w:rPr>
          <w:rFonts w:cs="Arial"/>
          <w:lang w:val="fr-CA"/>
        </w:rPr>
        <w:t xml:space="preserve">, </w:t>
      </w:r>
      <w:r>
        <w:rPr>
          <w:lang w:val="fr-CA"/>
        </w:rPr>
        <w:t>ce qui porte</w:t>
      </w:r>
      <w:r>
        <w:rPr>
          <w:rFonts w:cs="Arial"/>
          <w:lang w:val="fr-CA"/>
        </w:rPr>
        <w:t xml:space="preserve"> à 347 le nombre total de claims situés dans la zone adjacente au terrain Corvette sur lequel Patriot Battery Metals (TSXV : PMET) a découvert du lithium. Les nouveaux claims ont été acquis </w:t>
      </w:r>
      <w:r>
        <w:rPr>
          <w:lang w:val="fr-CA"/>
        </w:rPr>
        <w:t>en contrepartie de la somme en espèces de 100 000 $ et de trois millions d’actions</w:t>
      </w:r>
      <w:r>
        <w:rPr>
          <w:rFonts w:cs="Arial"/>
          <w:lang w:val="fr-CA"/>
        </w:rPr>
        <w:t>. L’acquisition englobait trois blocs qui feront désormais partie des terrains Stingray.</w:t>
      </w:r>
    </w:p>
    <w:p>
      <w:pPr>
        <w:pStyle w:val="TextJustified"/>
        <w:spacing w:line="240" w:lineRule="auto"/>
        <w:rPr>
          <w:u w:val="single"/>
          <w:lang w:val="fr-CA"/>
        </w:rPr>
      </w:pPr>
      <w:r>
        <w:rPr>
          <w:rFonts w:cs="Arial"/>
          <w:lang w:val="fr-CA"/>
        </w:rPr>
        <w:t>Les claims que Victory détient englobent désormais des terrains d’une grande superficie se trouvant dans une zone sous</w:t>
      </w:r>
      <w:r>
        <w:rPr>
          <w:rFonts w:cs="Arial"/>
          <w:lang w:val="fr-CA"/>
        </w:rPr>
        <w:noBreakHyphen/>
        <w:t xml:space="preserve">explorée d’un nouveau district de lithium. Grâce à cette </w:t>
      </w:r>
      <w:r>
        <w:rPr>
          <w:rFonts w:eastAsia="Calibri"/>
          <w:color w:val="000000"/>
          <w:szCs w:val="22"/>
          <w:lang w:val="fr-CA"/>
        </w:rPr>
        <w:t>acquisition</w:t>
      </w:r>
      <w:r>
        <w:rPr>
          <w:rFonts w:cs="Arial"/>
          <w:lang w:val="fr-CA"/>
        </w:rPr>
        <w:t>, la superficie des terrains Stingray est passée de 3 417 à 17 792 hectares au sud du terrain Corvette de Patriot Battery Metals. Les blocs de claims visant les terrains Stingray vont d’une zone adjacente au terrain Corvette à plusieurs kilomètres plus loin et d’est en ouest sur une distance de 65 kilomètres.</w:t>
      </w:r>
    </w:p>
    <w:p>
      <w:pPr>
        <w:pStyle w:val="Subtitle"/>
        <w:spacing w:line="240" w:lineRule="auto"/>
        <w:rPr>
          <w:lang w:val="fr-CA"/>
        </w:rPr>
      </w:pPr>
      <w:r>
        <w:rPr>
          <w:lang w:val="fr-CA"/>
        </w:rPr>
        <w:lastRenderedPageBreak/>
        <w:t>Faits importants</w:t>
      </w:r>
    </w:p>
    <w:p>
      <w:pPr>
        <w:pStyle w:val="TextJustified"/>
        <w:spacing w:line="240" w:lineRule="auto"/>
        <w:rPr>
          <w:lang w:val="fr-CA"/>
        </w:rPr>
      </w:pPr>
      <w:r>
        <w:rPr>
          <w:rFonts w:eastAsia="Arial"/>
          <w:lang w:val="fr-CA"/>
        </w:rPr>
        <w:t>Il n</w:t>
      </w:r>
      <w:r>
        <w:rPr>
          <w:rFonts w:eastAsia="Arial"/>
          <w:spacing w:val="-3"/>
          <w:lang w:val="fr-CA"/>
        </w:rPr>
        <w:t>’</w:t>
      </w:r>
      <w:r>
        <w:rPr>
          <w:rFonts w:eastAsia="Arial"/>
          <w:lang w:val="fr-CA"/>
        </w:rPr>
        <w:t>existe aucun fait important au sujet des titres qui font l</w:t>
      </w:r>
      <w:r>
        <w:rPr>
          <w:rFonts w:eastAsia="Arial"/>
          <w:spacing w:val="-3"/>
          <w:lang w:val="fr-CA"/>
        </w:rPr>
        <w:t>’</w:t>
      </w:r>
      <w:r>
        <w:rPr>
          <w:rFonts w:eastAsia="Arial"/>
          <w:lang w:val="fr-CA"/>
        </w:rPr>
        <w:t>objet du présent placement qui n</w:t>
      </w:r>
      <w:r>
        <w:rPr>
          <w:rFonts w:eastAsia="Arial"/>
          <w:spacing w:val="-3"/>
          <w:lang w:val="fr-CA"/>
        </w:rPr>
        <w:t>’</w:t>
      </w:r>
      <w:r>
        <w:rPr>
          <w:rFonts w:eastAsia="Arial"/>
          <w:lang w:val="fr-CA"/>
        </w:rPr>
        <w:t>aurait pas été communiqué dans le présent document d'offre ou dans un autre document que la Société a déposé au cours de la période de 12 mois qui a précédé la date du présent document d</w:t>
      </w:r>
      <w:r>
        <w:rPr>
          <w:rFonts w:eastAsia="Arial"/>
          <w:spacing w:val="-3"/>
          <w:lang w:val="fr-CA"/>
        </w:rPr>
        <w:t>’</w:t>
      </w:r>
      <w:r>
        <w:rPr>
          <w:rFonts w:eastAsia="Arial"/>
          <w:lang w:val="fr-CA"/>
        </w:rPr>
        <w:t xml:space="preserve">offre. </w:t>
      </w:r>
    </w:p>
    <w:p>
      <w:pPr>
        <w:pStyle w:val="TextJustified"/>
        <w:keepNext/>
        <w:keepLines/>
        <w:spacing w:line="240" w:lineRule="auto"/>
        <w:rPr>
          <w:b/>
          <w:bCs/>
          <w:lang w:val="fr-CA"/>
        </w:rPr>
      </w:pPr>
      <w:r>
        <w:rPr>
          <w:b/>
          <w:bCs/>
          <w:lang w:val="fr-CA"/>
        </w:rPr>
        <w:t>Quels objectifs commerciaux comptons</w:t>
      </w:r>
      <w:r>
        <w:rPr>
          <w:b/>
          <w:bCs/>
          <w:lang w:val="fr-CA"/>
        </w:rPr>
        <w:noBreakHyphen/>
        <w:t>nous réaliser grâce aux fonds disponibles?</w:t>
      </w:r>
    </w:p>
    <w:p>
      <w:pPr>
        <w:pStyle w:val="TextJustified"/>
        <w:keepNext/>
        <w:keepLines/>
        <w:spacing w:line="240" w:lineRule="auto"/>
        <w:rPr>
          <w:lang w:val="fr-CA"/>
        </w:rPr>
      </w:pPr>
      <w:r>
        <w:rPr>
          <w:lang w:val="fr-CA"/>
        </w:rPr>
        <w:t>La Société a l</w:t>
      </w:r>
      <w:r>
        <w:rPr>
          <w:rFonts w:eastAsia="Arial"/>
          <w:spacing w:val="-3"/>
          <w:lang w:val="fr-CA"/>
        </w:rPr>
        <w:t>’</w:t>
      </w:r>
      <w:r>
        <w:rPr>
          <w:lang w:val="fr-CA"/>
        </w:rPr>
        <w:t>intention d</w:t>
      </w:r>
      <w:r>
        <w:rPr>
          <w:rFonts w:eastAsia="Arial"/>
          <w:spacing w:val="-3"/>
          <w:lang w:val="fr-CA"/>
        </w:rPr>
        <w:t>’</w:t>
      </w:r>
      <w:r>
        <w:rPr>
          <w:lang w:val="fr-CA"/>
        </w:rPr>
        <w:t xml:space="preserve">affecter le produit net qu'elle tirera du présent placement à son fonds de roulement et aux autres fins générales de son entreprise. Le produit brut qui sera tiré des </w:t>
      </w:r>
      <w:r>
        <w:rPr>
          <w:rFonts w:eastAsia="Arial"/>
          <w:spacing w:val="-3"/>
          <w:lang w:val="fr-CA"/>
        </w:rPr>
        <w:t xml:space="preserve">unités </w:t>
      </w:r>
      <w:r>
        <w:rPr>
          <w:lang w:val="fr-CA"/>
        </w:rPr>
        <w:t>accréditives sera affecté au paiement des frais d</w:t>
      </w:r>
      <w:r>
        <w:rPr>
          <w:rFonts w:eastAsia="Arial"/>
          <w:spacing w:val="-3"/>
          <w:lang w:val="fr-CA"/>
        </w:rPr>
        <w:t xml:space="preserve">’exploration qui seront engagés dans le cadre des projets miniers de la Société, comme le permet la </w:t>
      </w:r>
      <w:r>
        <w:rPr>
          <w:rFonts w:eastAsia="Arial"/>
          <w:i/>
          <w:iCs/>
          <w:spacing w:val="-3"/>
          <w:lang w:val="fr-CA"/>
        </w:rPr>
        <w:t>Loi de l’impôt sur le revenu</w:t>
      </w:r>
      <w:r>
        <w:rPr>
          <w:rFonts w:eastAsia="Arial"/>
          <w:spacing w:val="-3"/>
          <w:lang w:val="fr-CA"/>
        </w:rPr>
        <w:t xml:space="preserve"> (Canada), afin que ces frais soient admissibles à titre de frais d’exploration au Canada. Le produit qui sera tiré des unités faisant l’objet du présent placement sera affecté aux travaux d’exploration que la Société effectuera sur ses terrains américains et aux fins généralement de son fonds de roulement. </w:t>
      </w:r>
      <w:r>
        <w:rPr>
          <w:rFonts w:eastAsia="Arial"/>
          <w:b/>
          <w:bCs/>
          <w:spacing w:val="-3"/>
          <w:lang w:val="fr-CA"/>
        </w:rPr>
        <w:t>À</w:t>
      </w:r>
      <w:r>
        <w:rPr>
          <w:rFonts w:eastAsia="Arial"/>
          <w:spacing w:val="-3"/>
          <w:lang w:val="fr-CA"/>
        </w:rPr>
        <w:t xml:space="preserve"> </w:t>
      </w:r>
      <w:r>
        <w:rPr>
          <w:rFonts w:eastAsia="Arial"/>
          <w:b/>
          <w:spacing w:val="-3"/>
          <w:lang w:val="fr-CA"/>
        </w:rPr>
        <w:t>noter que les renseignements donnés ci</w:t>
      </w:r>
      <w:r>
        <w:rPr>
          <w:rFonts w:eastAsia="Arial"/>
          <w:b/>
          <w:spacing w:val="-3"/>
          <w:lang w:val="fr-CA"/>
        </w:rPr>
        <w:noBreakHyphen/>
        <w:t>après s’appliquent uniquement aux unités faisant l’objet du présent placement.</w:t>
      </w:r>
      <w:r>
        <w:rPr>
          <w:rFonts w:eastAsia="Arial"/>
          <w:spacing w:val="-3"/>
          <w:lang w:val="fr-CA"/>
        </w:rPr>
        <w:t xml:space="preserve"> La Société prévoit que les événements indiqués ci</w:t>
      </w:r>
      <w:r>
        <w:rPr>
          <w:rFonts w:eastAsia="Arial"/>
          <w:spacing w:val="-3"/>
          <w:lang w:val="fr-CA"/>
        </w:rPr>
        <w:noBreakHyphen/>
        <w:t xml:space="preserve">après se produiront selon l’échéancier et en contrepartie des frais indiqués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gridCol w:w="1560"/>
        <w:gridCol w:w="1984"/>
        <w:gridCol w:w="1984"/>
      </w:tblGrid>
      <w:tr>
        <w:trPr>
          <w:trHeight w:val="320"/>
          <w:tblHeader/>
        </w:trPr>
        <w:tc>
          <w:tcPr>
            <w:tcW w:w="2044" w:type="pct"/>
            <w:shd w:val="clear" w:color="auto" w:fill="D9D9D9" w:themeFill="background1" w:themeFillShade="D9"/>
            <w:noWrap/>
            <w:vAlign w:val="center"/>
            <w:hideMark/>
          </w:tcPr>
          <w:p>
            <w:pPr>
              <w:keepNext/>
              <w:spacing w:before="60" w:after="60" w:line="240" w:lineRule="auto"/>
              <w:rPr>
                <w:rFonts w:eastAsia="Times New Roman" w:cs="Arial"/>
                <w:b/>
                <w:bCs/>
                <w:color w:val="000000"/>
                <w:sz w:val="18"/>
                <w:szCs w:val="18"/>
                <w:lang w:val="fr-CA"/>
              </w:rPr>
            </w:pPr>
            <w:r>
              <w:rPr>
                <w:rFonts w:eastAsia="Times New Roman" w:cs="Arial"/>
                <w:b/>
                <w:bCs/>
                <w:color w:val="000000"/>
                <w:sz w:val="18"/>
                <w:szCs w:val="18"/>
                <w:lang w:val="fr-CA"/>
              </w:rPr>
              <w:t>Événement</w:t>
            </w:r>
          </w:p>
        </w:tc>
        <w:tc>
          <w:tcPr>
            <w:tcW w:w="834" w:type="pct"/>
            <w:shd w:val="clear" w:color="auto" w:fill="D9D9D9" w:themeFill="background1" w:themeFillShade="D9"/>
            <w:noWrap/>
            <w:vAlign w:val="center"/>
            <w:hideMark/>
          </w:tcPr>
          <w:p>
            <w:pPr>
              <w:keepNext/>
              <w:spacing w:before="60" w:after="60" w:line="240" w:lineRule="auto"/>
              <w:jc w:val="center"/>
              <w:rPr>
                <w:rFonts w:eastAsia="Times New Roman" w:cs="Arial"/>
                <w:b/>
                <w:bCs/>
                <w:color w:val="000000"/>
                <w:sz w:val="18"/>
                <w:szCs w:val="18"/>
                <w:lang w:val="fr-CA"/>
              </w:rPr>
            </w:pPr>
            <w:r>
              <w:rPr>
                <w:rFonts w:eastAsia="Times New Roman" w:cs="Arial"/>
                <w:b/>
                <w:bCs/>
                <w:color w:val="000000"/>
                <w:sz w:val="18"/>
                <w:szCs w:val="18"/>
                <w:lang w:val="fr-CA"/>
              </w:rPr>
              <w:t>Échéancier</w:t>
            </w:r>
          </w:p>
        </w:tc>
        <w:tc>
          <w:tcPr>
            <w:tcW w:w="1061" w:type="pct"/>
            <w:shd w:val="clear" w:color="auto" w:fill="D9D9D9" w:themeFill="background1" w:themeFillShade="D9"/>
            <w:vAlign w:val="center"/>
          </w:tcPr>
          <w:p>
            <w:pPr>
              <w:keepNext/>
              <w:spacing w:before="60" w:line="240" w:lineRule="auto"/>
              <w:jc w:val="center"/>
              <w:rPr>
                <w:rFonts w:eastAsia="Times New Roman" w:cs="Arial"/>
                <w:b/>
                <w:bCs/>
                <w:color w:val="000000"/>
                <w:sz w:val="18"/>
                <w:szCs w:val="18"/>
                <w:lang w:val="fr-CA"/>
              </w:rPr>
            </w:pPr>
            <w:r>
              <w:rPr>
                <w:rFonts w:eastAsia="Times New Roman" w:cs="Arial"/>
                <w:b/>
                <w:bCs/>
                <w:color w:val="000000"/>
                <w:sz w:val="18"/>
                <w:szCs w:val="18"/>
                <w:lang w:val="fr-CA"/>
              </w:rPr>
              <w:t>Frais</w:t>
            </w:r>
          </w:p>
          <w:p>
            <w:pPr>
              <w:keepNext/>
              <w:spacing w:before="60" w:after="60" w:line="240" w:lineRule="auto"/>
              <w:jc w:val="center"/>
              <w:rPr>
                <w:rFonts w:eastAsia="Times New Roman" w:cs="Arial"/>
                <w:b/>
                <w:bCs/>
                <w:color w:val="000000"/>
                <w:sz w:val="18"/>
                <w:szCs w:val="18"/>
                <w:lang w:val="fr-CA"/>
              </w:rPr>
            </w:pPr>
            <w:r>
              <w:rPr>
                <w:rFonts w:eastAsia="Times New Roman" w:cs="Arial"/>
                <w:b/>
                <w:bCs/>
                <w:color w:val="000000"/>
                <w:sz w:val="18"/>
                <w:szCs w:val="18"/>
                <w:lang w:val="fr-CA"/>
              </w:rPr>
              <w:t>(d</w:t>
            </w:r>
            <w:r>
              <w:rPr>
                <w:b/>
                <w:bCs/>
                <w:sz w:val="18"/>
                <w:szCs w:val="18"/>
                <w:lang w:val="fr-CA"/>
              </w:rPr>
              <w:t>ans l’hypothèse d’un montant minimum seulement</w:t>
            </w:r>
            <w:r>
              <w:rPr>
                <w:rFonts w:eastAsia="Times New Roman" w:cs="Arial"/>
                <w:b/>
                <w:bCs/>
                <w:color w:val="000000"/>
                <w:sz w:val="18"/>
                <w:szCs w:val="18"/>
                <w:lang w:val="fr-CA"/>
              </w:rPr>
              <w:t>)</w:t>
            </w:r>
          </w:p>
        </w:tc>
        <w:tc>
          <w:tcPr>
            <w:tcW w:w="1061" w:type="pct"/>
            <w:shd w:val="clear" w:color="auto" w:fill="D9D9D9" w:themeFill="background1" w:themeFillShade="D9"/>
            <w:noWrap/>
            <w:vAlign w:val="center"/>
            <w:hideMark/>
          </w:tcPr>
          <w:p>
            <w:pPr>
              <w:keepNext/>
              <w:spacing w:before="60" w:line="240" w:lineRule="auto"/>
              <w:jc w:val="center"/>
              <w:rPr>
                <w:rFonts w:eastAsia="Times New Roman" w:cs="Arial"/>
                <w:b/>
                <w:bCs/>
                <w:color w:val="000000"/>
                <w:sz w:val="18"/>
                <w:szCs w:val="18"/>
                <w:lang w:val="fr-CA"/>
              </w:rPr>
            </w:pPr>
            <w:r>
              <w:rPr>
                <w:rFonts w:eastAsia="Times New Roman" w:cs="Arial"/>
                <w:b/>
                <w:bCs/>
                <w:color w:val="000000"/>
                <w:sz w:val="18"/>
                <w:szCs w:val="18"/>
                <w:lang w:val="fr-CA"/>
              </w:rPr>
              <w:t>Frais</w:t>
            </w:r>
          </w:p>
          <w:p>
            <w:pPr>
              <w:keepNext/>
              <w:spacing w:before="60" w:after="60" w:line="240" w:lineRule="auto"/>
              <w:jc w:val="center"/>
              <w:rPr>
                <w:rFonts w:eastAsia="Times New Roman" w:cs="Arial"/>
                <w:b/>
                <w:bCs/>
                <w:color w:val="000000"/>
                <w:sz w:val="18"/>
                <w:szCs w:val="18"/>
                <w:lang w:val="fr-CA"/>
              </w:rPr>
            </w:pPr>
            <w:r>
              <w:rPr>
                <w:rFonts w:eastAsia="Times New Roman" w:cs="Arial"/>
                <w:b/>
                <w:bCs/>
                <w:color w:val="000000"/>
                <w:sz w:val="18"/>
                <w:szCs w:val="18"/>
                <w:lang w:val="fr-CA"/>
              </w:rPr>
              <w:t>(d</w:t>
            </w:r>
            <w:r>
              <w:rPr>
                <w:b/>
                <w:bCs/>
                <w:sz w:val="18"/>
                <w:szCs w:val="18"/>
                <w:lang w:val="fr-CA"/>
              </w:rPr>
              <w:t xml:space="preserve">ans l’hypothèse </w:t>
            </w:r>
            <w:r>
              <w:rPr>
                <w:b/>
                <w:bCs/>
                <w:sz w:val="18"/>
                <w:szCs w:val="18"/>
                <w:lang w:val="fr-CA"/>
              </w:rPr>
              <w:br/>
              <w:t>de la prise en livraison de 100 % des titres placés</w:t>
            </w:r>
            <w:r>
              <w:rPr>
                <w:rFonts w:eastAsia="Times New Roman" w:cs="Arial"/>
                <w:b/>
                <w:bCs/>
                <w:color w:val="000000"/>
                <w:sz w:val="18"/>
                <w:szCs w:val="18"/>
                <w:lang w:val="fr-CA"/>
              </w:rPr>
              <w:t>)</w:t>
            </w:r>
          </w:p>
        </w:tc>
      </w:tr>
      <w:tr>
        <w:trPr>
          <w:trHeight w:val="320"/>
        </w:trPr>
        <w:tc>
          <w:tcPr>
            <w:tcW w:w="2044" w:type="pct"/>
            <w:shd w:val="clear" w:color="auto" w:fill="auto"/>
            <w:noWrap/>
            <w:vAlign w:val="center"/>
            <w:hideMark/>
          </w:tcPr>
          <w:p>
            <w:pPr>
              <w:keepNext/>
              <w:spacing w:before="60" w:after="60" w:line="240" w:lineRule="auto"/>
              <w:rPr>
                <w:rFonts w:eastAsia="Times New Roman" w:cs="Arial"/>
                <w:color w:val="000000"/>
                <w:sz w:val="18"/>
                <w:szCs w:val="18"/>
                <w:lang w:val="fr-CA"/>
              </w:rPr>
            </w:pPr>
            <w:r>
              <w:rPr>
                <w:rFonts w:eastAsia="Times New Roman" w:cs="Arial"/>
                <w:color w:val="000000"/>
                <w:sz w:val="18"/>
                <w:szCs w:val="18"/>
                <w:lang w:val="fr-CA"/>
              </w:rPr>
              <w:t xml:space="preserve">Frais d’exploration – Terrain recelant du lithium Smokey </w:t>
            </w:r>
          </w:p>
        </w:tc>
        <w:tc>
          <w:tcPr>
            <w:tcW w:w="834" w:type="pct"/>
            <w:shd w:val="clear" w:color="auto" w:fill="auto"/>
            <w:noWrap/>
            <w:vAlign w:val="bottom"/>
            <w:hideMark/>
          </w:tcPr>
          <w:p>
            <w:pPr>
              <w:keepNext/>
              <w:spacing w:before="60" w:after="60" w:line="240" w:lineRule="auto"/>
              <w:rPr>
                <w:rFonts w:eastAsia="Times New Roman" w:cs="Arial"/>
                <w:color w:val="000000"/>
                <w:sz w:val="18"/>
                <w:szCs w:val="18"/>
                <w:lang w:val="fr-CA"/>
              </w:rPr>
            </w:pPr>
            <w:r>
              <w:rPr>
                <w:rFonts w:eastAsia="Times New Roman" w:cs="Arial"/>
                <w:color w:val="000000"/>
                <w:sz w:val="18"/>
                <w:szCs w:val="18"/>
                <w:lang w:val="fr-CA"/>
              </w:rPr>
              <w:t>Avril 2023</w:t>
            </w:r>
          </w:p>
        </w:tc>
        <w:tc>
          <w:tcPr>
            <w:tcW w:w="1061" w:type="pct"/>
            <w:vAlign w:val="bottom"/>
          </w:tcPr>
          <w:p>
            <w:pPr>
              <w:keepNext/>
              <w:spacing w:before="60" w:after="60" w:line="240" w:lineRule="auto"/>
              <w:jc w:val="right"/>
              <w:rPr>
                <w:rFonts w:eastAsia="Times New Roman" w:cs="Arial"/>
                <w:color w:val="000000"/>
                <w:sz w:val="18"/>
                <w:szCs w:val="18"/>
                <w:lang w:val="fr-CA"/>
              </w:rPr>
            </w:pPr>
            <w:r>
              <w:rPr>
                <w:rFonts w:eastAsia="Times New Roman" w:cs="Arial"/>
                <w:color w:val="000000"/>
                <w:sz w:val="18"/>
                <w:szCs w:val="18"/>
                <w:lang w:val="fr-CA"/>
              </w:rPr>
              <w:t xml:space="preserve"> S.O. </w:t>
            </w:r>
          </w:p>
        </w:tc>
        <w:tc>
          <w:tcPr>
            <w:tcW w:w="1061" w:type="pct"/>
            <w:shd w:val="clear" w:color="auto" w:fill="auto"/>
            <w:noWrap/>
            <w:vAlign w:val="bottom"/>
            <w:hideMark/>
          </w:tcPr>
          <w:p>
            <w:pPr>
              <w:keepNext/>
              <w:spacing w:before="60" w:after="60" w:line="240" w:lineRule="auto"/>
              <w:jc w:val="right"/>
              <w:rPr>
                <w:rFonts w:eastAsia="Times New Roman" w:cs="Arial"/>
                <w:color w:val="000000"/>
                <w:sz w:val="18"/>
                <w:szCs w:val="18"/>
                <w:lang w:val="fr-CA"/>
              </w:rPr>
            </w:pPr>
            <w:r>
              <w:rPr>
                <w:rFonts w:eastAsia="Times New Roman" w:cs="Arial"/>
                <w:color w:val="000000"/>
                <w:sz w:val="18"/>
                <w:szCs w:val="18"/>
                <w:lang w:val="fr-CA"/>
              </w:rPr>
              <w:t xml:space="preserve"> 340 000 $ </w:t>
            </w:r>
          </w:p>
        </w:tc>
      </w:tr>
      <w:tr>
        <w:trPr>
          <w:trHeight w:val="320"/>
        </w:trPr>
        <w:tc>
          <w:tcPr>
            <w:tcW w:w="2044" w:type="pct"/>
            <w:shd w:val="clear" w:color="auto" w:fill="auto"/>
            <w:noWrap/>
            <w:vAlign w:val="center"/>
            <w:hideMark/>
          </w:tcPr>
          <w:p>
            <w:pPr>
              <w:keepNext/>
              <w:spacing w:before="60" w:after="60" w:line="240" w:lineRule="auto"/>
              <w:rPr>
                <w:rFonts w:eastAsia="Times New Roman" w:cs="Arial"/>
                <w:color w:val="000000"/>
                <w:sz w:val="18"/>
                <w:szCs w:val="18"/>
                <w:lang w:val="fr-CA"/>
              </w:rPr>
            </w:pPr>
            <w:r>
              <w:rPr>
                <w:rFonts w:eastAsia="Times New Roman" w:cs="Arial"/>
                <w:color w:val="000000"/>
                <w:sz w:val="18"/>
                <w:szCs w:val="18"/>
                <w:lang w:val="fr-CA"/>
              </w:rPr>
              <w:t>Frais d’exploration – Projet Black Diablo</w:t>
            </w:r>
          </w:p>
        </w:tc>
        <w:tc>
          <w:tcPr>
            <w:tcW w:w="834" w:type="pct"/>
            <w:shd w:val="clear" w:color="auto" w:fill="auto"/>
            <w:noWrap/>
            <w:vAlign w:val="bottom"/>
            <w:hideMark/>
          </w:tcPr>
          <w:p>
            <w:pPr>
              <w:keepNext/>
              <w:spacing w:before="60" w:after="60" w:line="240" w:lineRule="auto"/>
              <w:rPr>
                <w:rFonts w:eastAsia="Times New Roman" w:cs="Arial"/>
                <w:color w:val="000000"/>
                <w:sz w:val="18"/>
                <w:szCs w:val="18"/>
                <w:lang w:val="fr-CA"/>
              </w:rPr>
            </w:pPr>
            <w:r>
              <w:rPr>
                <w:rFonts w:eastAsia="Times New Roman" w:cs="Arial"/>
                <w:color w:val="000000"/>
                <w:sz w:val="18"/>
                <w:szCs w:val="18"/>
                <w:lang w:val="fr-CA"/>
              </w:rPr>
              <w:t>Juin 2023</w:t>
            </w:r>
          </w:p>
        </w:tc>
        <w:tc>
          <w:tcPr>
            <w:tcW w:w="1061" w:type="pct"/>
            <w:vAlign w:val="bottom"/>
          </w:tcPr>
          <w:p>
            <w:pPr>
              <w:keepNext/>
              <w:spacing w:before="60" w:after="60" w:line="240" w:lineRule="auto"/>
              <w:jc w:val="right"/>
              <w:rPr>
                <w:rFonts w:eastAsia="Times New Roman" w:cs="Arial"/>
                <w:color w:val="000000"/>
                <w:sz w:val="18"/>
                <w:szCs w:val="18"/>
                <w:lang w:val="fr-CA"/>
              </w:rPr>
            </w:pPr>
            <w:r>
              <w:rPr>
                <w:rFonts w:eastAsia="Times New Roman" w:cs="Arial"/>
                <w:color w:val="000000"/>
                <w:sz w:val="18"/>
                <w:szCs w:val="18"/>
                <w:lang w:val="fr-CA"/>
              </w:rPr>
              <w:t xml:space="preserve"> S.O. </w:t>
            </w:r>
          </w:p>
        </w:tc>
        <w:tc>
          <w:tcPr>
            <w:tcW w:w="1061" w:type="pct"/>
            <w:shd w:val="clear" w:color="auto" w:fill="auto"/>
            <w:noWrap/>
            <w:vAlign w:val="bottom"/>
            <w:hideMark/>
          </w:tcPr>
          <w:p>
            <w:pPr>
              <w:keepNext/>
              <w:spacing w:before="60" w:after="60" w:line="240" w:lineRule="auto"/>
              <w:jc w:val="right"/>
              <w:rPr>
                <w:rFonts w:eastAsia="Times New Roman" w:cs="Arial"/>
                <w:color w:val="000000"/>
                <w:sz w:val="18"/>
                <w:szCs w:val="18"/>
                <w:lang w:val="fr-CA"/>
              </w:rPr>
            </w:pPr>
            <w:r>
              <w:rPr>
                <w:rFonts w:eastAsia="Times New Roman" w:cs="Arial"/>
                <w:color w:val="000000"/>
                <w:sz w:val="18"/>
                <w:szCs w:val="18"/>
                <w:lang w:val="fr-CA"/>
              </w:rPr>
              <w:t xml:space="preserve"> 40 000 $</w:t>
            </w:r>
          </w:p>
        </w:tc>
      </w:tr>
      <w:tr>
        <w:trPr>
          <w:trHeight w:val="320"/>
        </w:trPr>
        <w:tc>
          <w:tcPr>
            <w:tcW w:w="2044" w:type="pct"/>
            <w:shd w:val="clear" w:color="auto" w:fill="auto"/>
            <w:noWrap/>
            <w:vAlign w:val="center"/>
            <w:hideMark/>
          </w:tcPr>
          <w:p>
            <w:pPr>
              <w:spacing w:before="60" w:after="60" w:line="240" w:lineRule="auto"/>
              <w:rPr>
                <w:rFonts w:eastAsia="Times New Roman" w:cs="Arial"/>
                <w:color w:val="000000"/>
                <w:sz w:val="18"/>
                <w:szCs w:val="18"/>
                <w:lang w:val="fr-CA"/>
              </w:rPr>
            </w:pPr>
            <w:r>
              <w:rPr>
                <w:rFonts w:eastAsia="Times New Roman" w:cs="Arial"/>
                <w:color w:val="000000"/>
                <w:sz w:val="18"/>
                <w:szCs w:val="18"/>
                <w:lang w:val="fr-CA"/>
              </w:rPr>
              <w:t>Fonds de roulement</w:t>
            </w:r>
          </w:p>
        </w:tc>
        <w:tc>
          <w:tcPr>
            <w:tcW w:w="834" w:type="pct"/>
            <w:shd w:val="clear" w:color="auto" w:fill="auto"/>
            <w:noWrap/>
            <w:vAlign w:val="center"/>
            <w:hideMark/>
          </w:tcPr>
          <w:p>
            <w:pPr>
              <w:spacing w:before="60" w:after="60" w:line="240" w:lineRule="auto"/>
              <w:rPr>
                <w:rFonts w:eastAsia="Times New Roman" w:cs="Arial"/>
                <w:color w:val="000000"/>
                <w:sz w:val="18"/>
                <w:szCs w:val="18"/>
                <w:lang w:val="fr-CA"/>
              </w:rPr>
            </w:pPr>
          </w:p>
        </w:tc>
        <w:tc>
          <w:tcPr>
            <w:tcW w:w="1061" w:type="pct"/>
            <w:vAlign w:val="bottom"/>
          </w:tcPr>
          <w:p>
            <w:pPr>
              <w:spacing w:before="60" w:after="60" w:line="240" w:lineRule="auto"/>
              <w:jc w:val="right"/>
              <w:rPr>
                <w:rFonts w:eastAsia="Times New Roman" w:cs="Arial"/>
                <w:color w:val="000000"/>
                <w:sz w:val="18"/>
                <w:szCs w:val="18"/>
                <w:lang w:val="fr-CA"/>
              </w:rPr>
            </w:pPr>
            <w:r>
              <w:rPr>
                <w:rFonts w:eastAsia="Times New Roman" w:cs="Arial"/>
                <w:color w:val="000000"/>
                <w:sz w:val="18"/>
                <w:szCs w:val="18"/>
                <w:lang w:val="fr-CA"/>
              </w:rPr>
              <w:t xml:space="preserve"> S.O. </w:t>
            </w:r>
          </w:p>
        </w:tc>
        <w:tc>
          <w:tcPr>
            <w:tcW w:w="1061" w:type="pct"/>
            <w:shd w:val="clear" w:color="auto" w:fill="auto"/>
            <w:noWrap/>
            <w:vAlign w:val="bottom"/>
            <w:hideMark/>
          </w:tcPr>
          <w:p>
            <w:pPr>
              <w:spacing w:before="60" w:after="60" w:line="240" w:lineRule="auto"/>
              <w:jc w:val="right"/>
              <w:rPr>
                <w:rFonts w:eastAsia="Times New Roman" w:cs="Arial"/>
                <w:color w:val="000000"/>
                <w:sz w:val="18"/>
                <w:szCs w:val="18"/>
                <w:lang w:val="fr-CA"/>
              </w:rPr>
            </w:pPr>
            <w:r>
              <w:rPr>
                <w:rFonts w:eastAsia="Times New Roman" w:cs="Arial"/>
                <w:color w:val="000000"/>
                <w:sz w:val="18"/>
                <w:szCs w:val="18"/>
                <w:lang w:val="fr-CA"/>
              </w:rPr>
              <w:t xml:space="preserve"> 400 000 $ </w:t>
            </w:r>
          </w:p>
        </w:tc>
      </w:tr>
    </w:tbl>
    <w:p>
      <w:pPr>
        <w:pStyle w:val="Subtitle"/>
        <w:spacing w:before="240" w:line="240" w:lineRule="auto"/>
        <w:jc w:val="center"/>
        <w:rPr>
          <w:lang w:val="fr-CA"/>
        </w:rPr>
      </w:pPr>
      <w:r>
        <w:rPr>
          <w:lang w:val="fr-CA"/>
        </w:rPr>
        <w:t>EMPLOI DES FONDS DISPONIBLES</w:t>
      </w:r>
    </w:p>
    <w:p>
      <w:pPr>
        <w:pStyle w:val="Subtitle"/>
        <w:spacing w:line="240" w:lineRule="auto"/>
        <w:rPr>
          <w:lang w:val="fr-CA"/>
        </w:rPr>
      </w:pPr>
      <w:r>
        <w:rPr>
          <w:lang w:val="fr-CA"/>
        </w:rPr>
        <w:t xml:space="preserve">Quels seront les fonds disponibles à la clôture du présent placement? </w:t>
      </w:r>
    </w:p>
    <w:tbl>
      <w:tblPr>
        <w:tblStyle w:val="TableGrid"/>
        <w:tblW w:w="5000" w:type="pct"/>
        <w:tblCellMar>
          <w:top w:w="29" w:type="dxa"/>
          <w:bottom w:w="29" w:type="dxa"/>
        </w:tblCellMar>
        <w:tblLook w:val="04A0" w:firstRow="1" w:lastRow="0" w:firstColumn="1" w:lastColumn="0" w:noHBand="0" w:noVBand="1"/>
      </w:tblPr>
      <w:tblGrid>
        <w:gridCol w:w="804"/>
        <w:gridCol w:w="4436"/>
        <w:gridCol w:w="2055"/>
        <w:gridCol w:w="2055"/>
      </w:tblGrid>
      <w:tr>
        <w:trPr>
          <w:cantSplit/>
          <w:trHeight w:val="20"/>
          <w:tblHeader/>
        </w:trPr>
        <w:tc>
          <w:tcPr>
            <w:tcW w:w="430" w:type="pct"/>
            <w:shd w:val="clear" w:color="auto" w:fill="D9D9D9" w:themeFill="background1" w:themeFillShade="D9"/>
          </w:tcPr>
          <w:p>
            <w:pPr>
              <w:pStyle w:val="TableText"/>
              <w:keepNext/>
              <w:spacing w:line="240" w:lineRule="auto"/>
              <w:rPr>
                <w:sz w:val="18"/>
                <w:szCs w:val="18"/>
                <w:lang w:val="fr-CA"/>
              </w:rPr>
            </w:pPr>
          </w:p>
        </w:tc>
        <w:tc>
          <w:tcPr>
            <w:tcW w:w="2372" w:type="pct"/>
            <w:shd w:val="clear" w:color="auto" w:fill="D9D9D9" w:themeFill="background1" w:themeFillShade="D9"/>
          </w:tcPr>
          <w:p>
            <w:pPr>
              <w:pStyle w:val="TableText"/>
              <w:keepNext/>
              <w:spacing w:line="240" w:lineRule="auto"/>
              <w:rPr>
                <w:b/>
                <w:bCs/>
                <w:sz w:val="18"/>
                <w:szCs w:val="18"/>
                <w:lang w:val="fr-CA"/>
              </w:rPr>
            </w:pPr>
          </w:p>
        </w:tc>
        <w:tc>
          <w:tcPr>
            <w:tcW w:w="1099" w:type="pct"/>
            <w:shd w:val="clear" w:color="auto" w:fill="D9D9D9" w:themeFill="background1" w:themeFillShade="D9"/>
          </w:tcPr>
          <w:p>
            <w:pPr>
              <w:pStyle w:val="TableText"/>
              <w:keepNext/>
              <w:spacing w:line="240" w:lineRule="auto"/>
              <w:jc w:val="center"/>
              <w:rPr>
                <w:b/>
                <w:bCs/>
                <w:sz w:val="18"/>
                <w:szCs w:val="18"/>
                <w:lang w:val="fr-CA"/>
              </w:rPr>
            </w:pPr>
            <w:r>
              <w:rPr>
                <w:b/>
                <w:bCs/>
                <w:sz w:val="18"/>
                <w:szCs w:val="18"/>
                <w:lang w:val="fr-CA"/>
              </w:rPr>
              <w:t>Dans l’hypothèse</w:t>
            </w:r>
            <w:r>
              <w:rPr>
                <w:b/>
                <w:bCs/>
                <w:sz w:val="18"/>
                <w:szCs w:val="18"/>
                <w:lang w:val="fr-CA"/>
              </w:rPr>
              <w:br/>
              <w:t xml:space="preserve">d’un montant minimum </w:t>
            </w:r>
            <w:r>
              <w:rPr>
                <w:b/>
                <w:bCs/>
                <w:sz w:val="18"/>
                <w:szCs w:val="18"/>
                <w:lang w:val="fr-CA"/>
              </w:rPr>
              <w:br/>
              <w:t>seulement</w:t>
            </w:r>
          </w:p>
        </w:tc>
        <w:tc>
          <w:tcPr>
            <w:tcW w:w="1099" w:type="pct"/>
            <w:shd w:val="clear" w:color="auto" w:fill="D9D9D9" w:themeFill="background1" w:themeFillShade="D9"/>
          </w:tcPr>
          <w:p>
            <w:pPr>
              <w:pStyle w:val="TableText"/>
              <w:keepNext/>
              <w:spacing w:line="240" w:lineRule="auto"/>
              <w:jc w:val="center"/>
              <w:rPr>
                <w:b/>
                <w:bCs/>
                <w:sz w:val="18"/>
                <w:szCs w:val="18"/>
                <w:lang w:val="fr-CA"/>
              </w:rPr>
            </w:pPr>
            <w:r>
              <w:rPr>
                <w:b/>
                <w:bCs/>
                <w:sz w:val="18"/>
                <w:szCs w:val="18"/>
                <w:lang w:val="fr-CA"/>
              </w:rPr>
              <w:t xml:space="preserve">Dans l’hypothèse de la prise </w:t>
            </w:r>
            <w:r>
              <w:rPr>
                <w:b/>
                <w:bCs/>
                <w:sz w:val="18"/>
                <w:szCs w:val="18"/>
                <w:lang w:val="fr-CA"/>
              </w:rPr>
              <w:br/>
              <w:t>en livraison</w:t>
            </w:r>
            <w:r>
              <w:rPr>
                <w:b/>
                <w:bCs/>
                <w:sz w:val="18"/>
                <w:szCs w:val="18"/>
                <w:lang w:val="fr-CA"/>
              </w:rPr>
              <w:br/>
              <w:t>de 100 % des</w:t>
            </w:r>
            <w:r>
              <w:rPr>
                <w:b/>
                <w:bCs/>
                <w:sz w:val="18"/>
                <w:szCs w:val="18"/>
                <w:lang w:val="fr-CA"/>
              </w:rPr>
              <w:br/>
              <w:t>titres placés</w:t>
            </w:r>
          </w:p>
        </w:tc>
      </w:tr>
      <w:tr>
        <w:trPr>
          <w:trHeight w:val="20"/>
        </w:trPr>
        <w:tc>
          <w:tcPr>
            <w:tcW w:w="430" w:type="pct"/>
          </w:tcPr>
          <w:p>
            <w:pPr>
              <w:pStyle w:val="TableText"/>
              <w:keepNext/>
              <w:spacing w:before="0" w:after="0" w:line="240" w:lineRule="auto"/>
              <w:rPr>
                <w:sz w:val="18"/>
                <w:szCs w:val="18"/>
                <w:lang w:val="fr-CA"/>
              </w:rPr>
            </w:pPr>
            <w:r>
              <w:rPr>
                <w:sz w:val="18"/>
                <w:szCs w:val="18"/>
                <w:lang w:val="fr-CA"/>
              </w:rPr>
              <w:t>A</w:t>
            </w:r>
          </w:p>
        </w:tc>
        <w:tc>
          <w:tcPr>
            <w:tcW w:w="2372" w:type="pct"/>
          </w:tcPr>
          <w:p>
            <w:pPr>
              <w:pStyle w:val="TableText"/>
              <w:keepNext/>
              <w:spacing w:before="0" w:after="0" w:line="240" w:lineRule="auto"/>
              <w:rPr>
                <w:sz w:val="18"/>
                <w:szCs w:val="18"/>
                <w:vertAlign w:val="superscript"/>
                <w:lang w:val="fr-CA"/>
              </w:rPr>
            </w:pPr>
            <w:r>
              <w:rPr>
                <w:sz w:val="18"/>
                <w:szCs w:val="18"/>
                <w:lang w:val="fr-CA"/>
              </w:rPr>
              <w:t>Montant à recueillir</w:t>
            </w:r>
            <w:r>
              <w:rPr>
                <w:sz w:val="18"/>
                <w:szCs w:val="18"/>
                <w:vertAlign w:val="superscript"/>
                <w:lang w:val="fr-CA"/>
              </w:rPr>
              <w:t>(1)</w:t>
            </w:r>
          </w:p>
        </w:tc>
        <w:tc>
          <w:tcPr>
            <w:tcW w:w="1099" w:type="pct"/>
            <w:vAlign w:val="bottom"/>
          </w:tcPr>
          <w:p>
            <w:pPr>
              <w:keepNext/>
              <w:spacing w:after="0" w:line="240" w:lineRule="auto"/>
              <w:jc w:val="right"/>
              <w:rPr>
                <w:sz w:val="18"/>
                <w:szCs w:val="18"/>
                <w:lang w:val="fr-CA"/>
              </w:rPr>
            </w:pPr>
            <w:r>
              <w:rPr>
                <w:rFonts w:eastAsia="Times New Roman" w:cs="Arial"/>
                <w:color w:val="000000"/>
                <w:sz w:val="18"/>
                <w:szCs w:val="18"/>
                <w:lang w:val="fr-CA"/>
              </w:rPr>
              <w:t>S.O.</w:t>
            </w:r>
          </w:p>
        </w:tc>
        <w:tc>
          <w:tcPr>
            <w:tcW w:w="1099" w:type="pct"/>
            <w:vAlign w:val="bottom"/>
          </w:tcPr>
          <w:p>
            <w:pPr>
              <w:keepNext/>
              <w:spacing w:after="0" w:line="240" w:lineRule="auto"/>
              <w:jc w:val="right"/>
              <w:rPr>
                <w:sz w:val="18"/>
                <w:szCs w:val="18"/>
                <w:lang w:val="fr-CA"/>
              </w:rPr>
            </w:pPr>
            <w:r>
              <w:rPr>
                <w:sz w:val="18"/>
                <w:szCs w:val="18"/>
                <w:lang w:val="fr-CA"/>
              </w:rPr>
              <w:t>1 000 000 $</w:t>
            </w:r>
          </w:p>
        </w:tc>
      </w:tr>
      <w:tr>
        <w:trPr>
          <w:trHeight w:val="20"/>
        </w:trPr>
        <w:tc>
          <w:tcPr>
            <w:tcW w:w="430" w:type="pct"/>
          </w:tcPr>
          <w:p>
            <w:pPr>
              <w:pStyle w:val="TableText"/>
              <w:keepNext/>
              <w:spacing w:before="0" w:after="0" w:line="240" w:lineRule="auto"/>
              <w:rPr>
                <w:sz w:val="18"/>
                <w:szCs w:val="18"/>
                <w:lang w:val="fr-CA"/>
              </w:rPr>
            </w:pPr>
            <w:r>
              <w:rPr>
                <w:sz w:val="18"/>
                <w:szCs w:val="18"/>
                <w:lang w:val="fr-CA"/>
              </w:rPr>
              <w:t>B</w:t>
            </w:r>
          </w:p>
        </w:tc>
        <w:tc>
          <w:tcPr>
            <w:tcW w:w="2372" w:type="pct"/>
          </w:tcPr>
          <w:p>
            <w:pPr>
              <w:pStyle w:val="TableText"/>
              <w:keepNext/>
              <w:spacing w:before="0" w:after="0" w:line="240" w:lineRule="auto"/>
              <w:rPr>
                <w:sz w:val="18"/>
                <w:szCs w:val="18"/>
                <w:lang w:val="fr-CA"/>
              </w:rPr>
            </w:pPr>
            <w:r>
              <w:rPr>
                <w:sz w:val="18"/>
                <w:szCs w:val="18"/>
                <w:lang w:val="fr-CA"/>
              </w:rPr>
              <w:t>Commissions de placement et frais</w:t>
            </w:r>
          </w:p>
        </w:tc>
        <w:tc>
          <w:tcPr>
            <w:tcW w:w="1099" w:type="pct"/>
            <w:vAlign w:val="bottom"/>
          </w:tcPr>
          <w:p>
            <w:pPr>
              <w:keepNext/>
              <w:spacing w:after="0" w:line="240" w:lineRule="auto"/>
              <w:jc w:val="right"/>
              <w:rPr>
                <w:sz w:val="18"/>
                <w:szCs w:val="18"/>
                <w:lang w:val="fr-CA"/>
              </w:rPr>
            </w:pPr>
            <w:r>
              <w:rPr>
                <w:rFonts w:eastAsia="Times New Roman" w:cs="Arial"/>
                <w:color w:val="000000"/>
                <w:sz w:val="18"/>
                <w:szCs w:val="18"/>
                <w:lang w:val="fr-CA"/>
              </w:rPr>
              <w:t>S.O.</w:t>
            </w:r>
          </w:p>
        </w:tc>
        <w:tc>
          <w:tcPr>
            <w:tcW w:w="1099" w:type="pct"/>
            <w:vAlign w:val="bottom"/>
          </w:tcPr>
          <w:p>
            <w:pPr>
              <w:keepNext/>
              <w:spacing w:after="0" w:line="240" w:lineRule="auto"/>
              <w:jc w:val="right"/>
              <w:rPr>
                <w:sz w:val="18"/>
                <w:szCs w:val="18"/>
                <w:lang w:val="fr-CA"/>
              </w:rPr>
            </w:pPr>
            <w:r>
              <w:rPr>
                <w:rFonts w:eastAsia="Arial" w:cs="Arial"/>
                <w:sz w:val="18"/>
                <w:szCs w:val="18"/>
                <w:lang w:val="fr-CA"/>
              </w:rPr>
              <w:t>56 000</w:t>
            </w:r>
            <w:r>
              <w:rPr>
                <w:sz w:val="18"/>
                <w:szCs w:val="18"/>
                <w:lang w:val="fr-CA"/>
              </w:rPr>
              <w:t> $</w:t>
            </w:r>
            <w:r>
              <w:rPr>
                <w:rFonts w:eastAsia="Arial" w:cs="Arial"/>
                <w:sz w:val="18"/>
                <w:szCs w:val="18"/>
                <w:vertAlign w:val="superscript"/>
                <w:lang w:val="fr-CA"/>
              </w:rPr>
              <w:t>(</w:t>
            </w:r>
            <w:r>
              <w:rPr>
                <w:sz w:val="18"/>
                <w:szCs w:val="18"/>
                <w:vertAlign w:val="superscript"/>
                <w:lang w:val="fr-CA"/>
              </w:rPr>
              <w:t>2)</w:t>
            </w:r>
          </w:p>
        </w:tc>
      </w:tr>
      <w:tr>
        <w:trPr>
          <w:trHeight w:val="20"/>
        </w:trPr>
        <w:tc>
          <w:tcPr>
            <w:tcW w:w="430" w:type="pct"/>
          </w:tcPr>
          <w:p>
            <w:pPr>
              <w:pStyle w:val="TableText"/>
              <w:keepNext/>
              <w:spacing w:before="0" w:after="0" w:line="240" w:lineRule="auto"/>
              <w:rPr>
                <w:sz w:val="18"/>
                <w:szCs w:val="18"/>
                <w:lang w:val="fr-CA"/>
              </w:rPr>
            </w:pPr>
            <w:r>
              <w:rPr>
                <w:sz w:val="18"/>
                <w:szCs w:val="18"/>
                <w:lang w:val="fr-CA"/>
              </w:rPr>
              <w:t>C</w:t>
            </w:r>
          </w:p>
        </w:tc>
        <w:tc>
          <w:tcPr>
            <w:tcW w:w="2372" w:type="pct"/>
          </w:tcPr>
          <w:p>
            <w:pPr>
              <w:pStyle w:val="TableText"/>
              <w:keepNext/>
              <w:spacing w:before="0" w:after="0" w:line="240" w:lineRule="auto"/>
              <w:rPr>
                <w:sz w:val="18"/>
                <w:szCs w:val="18"/>
                <w:lang w:val="fr-CA"/>
              </w:rPr>
            </w:pPr>
            <w:r>
              <w:rPr>
                <w:sz w:val="18"/>
                <w:szCs w:val="18"/>
                <w:lang w:val="fr-CA"/>
              </w:rPr>
              <w:t>Frais estimatifs (avocats, comptables et auditeurs)</w:t>
            </w:r>
          </w:p>
        </w:tc>
        <w:tc>
          <w:tcPr>
            <w:tcW w:w="1099" w:type="pct"/>
            <w:vAlign w:val="bottom"/>
          </w:tcPr>
          <w:p>
            <w:pPr>
              <w:keepNext/>
              <w:spacing w:after="0" w:line="240" w:lineRule="auto"/>
              <w:jc w:val="right"/>
              <w:rPr>
                <w:sz w:val="18"/>
                <w:szCs w:val="18"/>
                <w:lang w:val="fr-CA"/>
              </w:rPr>
            </w:pPr>
            <w:r>
              <w:rPr>
                <w:rFonts w:eastAsia="Times New Roman" w:cs="Arial"/>
                <w:color w:val="000000"/>
                <w:sz w:val="18"/>
                <w:szCs w:val="18"/>
                <w:lang w:val="fr-CA"/>
              </w:rPr>
              <w:t>S.O.</w:t>
            </w:r>
          </w:p>
        </w:tc>
        <w:tc>
          <w:tcPr>
            <w:tcW w:w="1099" w:type="pct"/>
            <w:vAlign w:val="bottom"/>
          </w:tcPr>
          <w:p>
            <w:pPr>
              <w:keepNext/>
              <w:spacing w:after="0" w:line="240" w:lineRule="auto"/>
              <w:jc w:val="right"/>
              <w:rPr>
                <w:sz w:val="18"/>
                <w:szCs w:val="18"/>
                <w:lang w:val="fr-CA"/>
              </w:rPr>
            </w:pPr>
            <w:r>
              <w:rPr>
                <w:rFonts w:eastAsia="Arial" w:cs="Arial"/>
                <w:sz w:val="18"/>
                <w:szCs w:val="18"/>
                <w:lang w:val="fr-CA"/>
              </w:rPr>
              <w:t>10 000</w:t>
            </w:r>
            <w:r>
              <w:rPr>
                <w:sz w:val="18"/>
                <w:szCs w:val="18"/>
                <w:lang w:val="fr-CA"/>
              </w:rPr>
              <w:t> $</w:t>
            </w:r>
          </w:p>
        </w:tc>
      </w:tr>
      <w:tr>
        <w:trPr>
          <w:trHeight w:val="20"/>
        </w:trPr>
        <w:tc>
          <w:tcPr>
            <w:tcW w:w="430" w:type="pct"/>
          </w:tcPr>
          <w:p>
            <w:pPr>
              <w:pStyle w:val="TableText"/>
              <w:keepNext/>
              <w:spacing w:before="0" w:after="0" w:line="240" w:lineRule="auto"/>
              <w:rPr>
                <w:sz w:val="18"/>
                <w:szCs w:val="18"/>
                <w:lang w:val="fr-CA"/>
              </w:rPr>
            </w:pPr>
            <w:r>
              <w:rPr>
                <w:sz w:val="18"/>
                <w:szCs w:val="18"/>
                <w:lang w:val="fr-CA"/>
              </w:rPr>
              <w:t>D</w:t>
            </w:r>
          </w:p>
        </w:tc>
        <w:tc>
          <w:tcPr>
            <w:tcW w:w="2372" w:type="pct"/>
          </w:tcPr>
          <w:p>
            <w:pPr>
              <w:pStyle w:val="TableText"/>
              <w:keepNext/>
              <w:spacing w:before="0" w:after="0" w:line="240" w:lineRule="auto"/>
              <w:rPr>
                <w:sz w:val="18"/>
                <w:szCs w:val="18"/>
                <w:lang w:val="fr-CA"/>
              </w:rPr>
            </w:pPr>
            <w:r>
              <w:rPr>
                <w:sz w:val="18"/>
                <w:szCs w:val="18"/>
                <w:lang w:val="fr-CA"/>
              </w:rPr>
              <w:t xml:space="preserve">Produit net du placement : </w:t>
            </w:r>
            <w:r>
              <w:rPr>
                <w:sz w:val="18"/>
                <w:szCs w:val="18"/>
                <w:lang w:val="fr-CA"/>
              </w:rPr>
              <w:br/>
              <w:t>D = A – (B + C)</w:t>
            </w:r>
          </w:p>
        </w:tc>
        <w:tc>
          <w:tcPr>
            <w:tcW w:w="1099" w:type="pct"/>
            <w:vAlign w:val="bottom"/>
          </w:tcPr>
          <w:p>
            <w:pPr>
              <w:keepNext/>
              <w:spacing w:after="0" w:line="240" w:lineRule="auto"/>
              <w:jc w:val="right"/>
              <w:rPr>
                <w:sz w:val="18"/>
                <w:szCs w:val="18"/>
                <w:lang w:val="fr-CA"/>
              </w:rPr>
            </w:pPr>
            <w:r>
              <w:rPr>
                <w:rFonts w:eastAsia="Times New Roman" w:cs="Arial"/>
                <w:color w:val="000000"/>
                <w:sz w:val="18"/>
                <w:szCs w:val="18"/>
                <w:lang w:val="fr-CA"/>
              </w:rPr>
              <w:t>S.O.</w:t>
            </w:r>
          </w:p>
        </w:tc>
        <w:tc>
          <w:tcPr>
            <w:tcW w:w="1099" w:type="pct"/>
            <w:vAlign w:val="bottom"/>
          </w:tcPr>
          <w:p>
            <w:pPr>
              <w:keepNext/>
              <w:spacing w:after="0" w:line="240" w:lineRule="auto"/>
              <w:jc w:val="right"/>
              <w:rPr>
                <w:sz w:val="18"/>
                <w:szCs w:val="18"/>
                <w:lang w:val="fr-CA"/>
              </w:rPr>
            </w:pPr>
            <w:r>
              <w:rPr>
                <w:rFonts w:eastAsia="Arial" w:cs="Arial"/>
                <w:sz w:val="18"/>
                <w:szCs w:val="18"/>
                <w:lang w:val="fr-CA"/>
              </w:rPr>
              <w:t>934 000</w:t>
            </w:r>
            <w:r>
              <w:rPr>
                <w:sz w:val="18"/>
                <w:szCs w:val="18"/>
                <w:lang w:val="fr-CA"/>
              </w:rPr>
              <w:t> $</w:t>
            </w:r>
          </w:p>
        </w:tc>
      </w:tr>
      <w:tr>
        <w:trPr>
          <w:trHeight w:val="20"/>
        </w:trPr>
        <w:tc>
          <w:tcPr>
            <w:tcW w:w="430" w:type="pct"/>
          </w:tcPr>
          <w:p>
            <w:pPr>
              <w:pStyle w:val="TableText"/>
              <w:keepNext/>
              <w:spacing w:before="0" w:after="0" w:line="240" w:lineRule="auto"/>
              <w:rPr>
                <w:sz w:val="18"/>
                <w:szCs w:val="18"/>
                <w:lang w:val="fr-CA"/>
              </w:rPr>
            </w:pPr>
            <w:r>
              <w:rPr>
                <w:sz w:val="18"/>
                <w:szCs w:val="18"/>
                <w:lang w:val="fr-CA"/>
              </w:rPr>
              <w:t>E</w:t>
            </w:r>
          </w:p>
        </w:tc>
        <w:tc>
          <w:tcPr>
            <w:tcW w:w="2372" w:type="pct"/>
          </w:tcPr>
          <w:p>
            <w:pPr>
              <w:pStyle w:val="TableText"/>
              <w:keepNext/>
              <w:spacing w:before="0" w:after="0" w:line="240" w:lineRule="auto"/>
              <w:rPr>
                <w:sz w:val="18"/>
                <w:szCs w:val="18"/>
                <w:vertAlign w:val="superscript"/>
                <w:lang w:val="fr-CA"/>
              </w:rPr>
            </w:pPr>
            <w:r>
              <w:rPr>
                <w:sz w:val="18"/>
                <w:szCs w:val="18"/>
                <w:lang w:val="fr-CA"/>
              </w:rPr>
              <w:t xml:space="preserve">Fonds de roulement (insuffisance) à la fin du dernier mois </w:t>
            </w:r>
            <w:r>
              <w:rPr>
                <w:sz w:val="18"/>
                <w:szCs w:val="18"/>
                <w:vertAlign w:val="superscript"/>
                <w:lang w:val="fr-CA"/>
              </w:rPr>
              <w:t>(3)</w:t>
            </w:r>
          </w:p>
        </w:tc>
        <w:tc>
          <w:tcPr>
            <w:tcW w:w="1099" w:type="pct"/>
            <w:vAlign w:val="bottom"/>
          </w:tcPr>
          <w:p>
            <w:pPr>
              <w:keepNext/>
              <w:spacing w:after="0" w:line="240" w:lineRule="auto"/>
              <w:jc w:val="right"/>
              <w:rPr>
                <w:sz w:val="18"/>
                <w:szCs w:val="18"/>
                <w:lang w:val="fr-CA"/>
              </w:rPr>
            </w:pPr>
            <w:r>
              <w:rPr>
                <w:rFonts w:eastAsia="Times New Roman" w:cs="Arial"/>
                <w:color w:val="000000"/>
                <w:sz w:val="18"/>
                <w:szCs w:val="18"/>
                <w:lang w:val="fr-CA"/>
              </w:rPr>
              <w:t>S.O.</w:t>
            </w:r>
          </w:p>
        </w:tc>
        <w:tc>
          <w:tcPr>
            <w:tcW w:w="1099" w:type="pct"/>
            <w:vAlign w:val="bottom"/>
          </w:tcPr>
          <w:p>
            <w:pPr>
              <w:keepNext/>
              <w:spacing w:after="0" w:line="240" w:lineRule="auto"/>
              <w:jc w:val="right"/>
              <w:rPr>
                <w:sz w:val="18"/>
                <w:szCs w:val="18"/>
                <w:lang w:val="fr-CA"/>
              </w:rPr>
            </w:pPr>
            <w:r>
              <w:rPr>
                <w:sz w:val="18"/>
                <w:szCs w:val="18"/>
                <w:lang w:val="fr-CA"/>
              </w:rPr>
              <w:t>(90 000) $</w:t>
            </w:r>
          </w:p>
        </w:tc>
      </w:tr>
      <w:tr>
        <w:trPr>
          <w:trHeight w:val="20"/>
        </w:trPr>
        <w:tc>
          <w:tcPr>
            <w:tcW w:w="430" w:type="pct"/>
          </w:tcPr>
          <w:p>
            <w:pPr>
              <w:pStyle w:val="TableText"/>
              <w:keepNext/>
              <w:spacing w:before="0" w:after="0" w:line="240" w:lineRule="auto"/>
              <w:rPr>
                <w:sz w:val="18"/>
                <w:szCs w:val="18"/>
                <w:lang w:val="fr-CA"/>
              </w:rPr>
            </w:pPr>
            <w:r>
              <w:rPr>
                <w:sz w:val="18"/>
                <w:szCs w:val="18"/>
                <w:lang w:val="fr-CA"/>
              </w:rPr>
              <w:t>F</w:t>
            </w:r>
          </w:p>
        </w:tc>
        <w:tc>
          <w:tcPr>
            <w:tcW w:w="2372" w:type="pct"/>
          </w:tcPr>
          <w:p>
            <w:pPr>
              <w:pStyle w:val="TableText"/>
              <w:keepNext/>
              <w:spacing w:before="0" w:after="0" w:line="240" w:lineRule="auto"/>
              <w:rPr>
                <w:sz w:val="18"/>
                <w:szCs w:val="18"/>
                <w:vertAlign w:val="superscript"/>
                <w:lang w:val="fr-CA"/>
              </w:rPr>
            </w:pPr>
            <w:r>
              <w:rPr>
                <w:sz w:val="18"/>
                <w:szCs w:val="18"/>
                <w:lang w:val="fr-CA"/>
              </w:rPr>
              <w:t>Sources de financement supplémentaires</w:t>
            </w:r>
          </w:p>
        </w:tc>
        <w:tc>
          <w:tcPr>
            <w:tcW w:w="1099" w:type="pct"/>
            <w:vAlign w:val="bottom"/>
          </w:tcPr>
          <w:p>
            <w:pPr>
              <w:keepNext/>
              <w:spacing w:after="0" w:line="240" w:lineRule="auto"/>
              <w:jc w:val="right"/>
              <w:rPr>
                <w:sz w:val="18"/>
                <w:szCs w:val="18"/>
                <w:lang w:val="fr-CA"/>
              </w:rPr>
            </w:pPr>
            <w:r>
              <w:rPr>
                <w:rFonts w:eastAsia="Times New Roman" w:cs="Arial"/>
                <w:color w:val="000000"/>
                <w:sz w:val="18"/>
                <w:szCs w:val="18"/>
                <w:lang w:val="fr-CA"/>
              </w:rPr>
              <w:t>S.O.</w:t>
            </w:r>
          </w:p>
        </w:tc>
        <w:tc>
          <w:tcPr>
            <w:tcW w:w="1099" w:type="pct"/>
            <w:vAlign w:val="bottom"/>
          </w:tcPr>
          <w:p>
            <w:pPr>
              <w:keepNext/>
              <w:spacing w:after="0" w:line="240" w:lineRule="auto"/>
              <w:jc w:val="right"/>
              <w:rPr>
                <w:sz w:val="18"/>
                <w:szCs w:val="18"/>
                <w:lang w:val="fr-CA"/>
              </w:rPr>
            </w:pPr>
            <w:r>
              <w:rPr>
                <w:rFonts w:eastAsia="Times New Roman" w:cs="Arial"/>
                <w:color w:val="000000"/>
                <w:sz w:val="18"/>
                <w:szCs w:val="18"/>
                <w:lang w:val="fr-CA"/>
              </w:rPr>
              <w:t>S.O.</w:t>
            </w:r>
          </w:p>
        </w:tc>
      </w:tr>
      <w:tr>
        <w:trPr>
          <w:trHeight w:val="20"/>
        </w:trPr>
        <w:tc>
          <w:tcPr>
            <w:tcW w:w="430" w:type="pct"/>
          </w:tcPr>
          <w:p>
            <w:pPr>
              <w:pStyle w:val="TableText"/>
              <w:keepNext/>
              <w:spacing w:before="0" w:after="0" w:line="240" w:lineRule="auto"/>
              <w:rPr>
                <w:b/>
                <w:bCs/>
                <w:sz w:val="18"/>
                <w:szCs w:val="18"/>
                <w:lang w:val="fr-CA"/>
              </w:rPr>
            </w:pPr>
            <w:r>
              <w:rPr>
                <w:b/>
                <w:bCs/>
                <w:sz w:val="18"/>
                <w:szCs w:val="18"/>
                <w:lang w:val="fr-CA"/>
              </w:rPr>
              <w:t>G</w:t>
            </w:r>
          </w:p>
        </w:tc>
        <w:tc>
          <w:tcPr>
            <w:tcW w:w="2372" w:type="pct"/>
          </w:tcPr>
          <w:p>
            <w:pPr>
              <w:pStyle w:val="TableText"/>
              <w:keepNext/>
              <w:spacing w:before="0" w:after="0" w:line="240" w:lineRule="auto"/>
              <w:rPr>
                <w:b/>
                <w:bCs/>
                <w:sz w:val="18"/>
                <w:szCs w:val="18"/>
                <w:lang w:val="fr-CA"/>
              </w:rPr>
            </w:pPr>
            <w:r>
              <w:rPr>
                <w:b/>
                <w:bCs/>
                <w:sz w:val="18"/>
                <w:szCs w:val="18"/>
                <w:lang w:val="fr-CA"/>
              </w:rPr>
              <w:t xml:space="preserve">Total des fonds disponibles : </w:t>
            </w:r>
            <w:r>
              <w:rPr>
                <w:b/>
                <w:bCs/>
                <w:sz w:val="18"/>
                <w:szCs w:val="18"/>
                <w:lang w:val="fr-CA"/>
              </w:rPr>
              <w:br/>
              <w:t>G = D + E + F</w:t>
            </w:r>
          </w:p>
        </w:tc>
        <w:tc>
          <w:tcPr>
            <w:tcW w:w="1099" w:type="pct"/>
            <w:vAlign w:val="bottom"/>
          </w:tcPr>
          <w:p>
            <w:pPr>
              <w:keepNext/>
              <w:spacing w:after="0" w:line="240" w:lineRule="auto"/>
              <w:jc w:val="right"/>
              <w:rPr>
                <w:b/>
                <w:bCs/>
                <w:sz w:val="18"/>
                <w:szCs w:val="18"/>
                <w:lang w:val="fr-CA"/>
              </w:rPr>
            </w:pPr>
            <w:r>
              <w:rPr>
                <w:rFonts w:eastAsia="Times New Roman" w:cs="Arial"/>
                <w:b/>
                <w:bCs/>
                <w:color w:val="000000"/>
                <w:sz w:val="18"/>
                <w:szCs w:val="18"/>
                <w:lang w:val="fr-CA"/>
              </w:rPr>
              <w:t>S.O.</w:t>
            </w:r>
          </w:p>
        </w:tc>
        <w:tc>
          <w:tcPr>
            <w:tcW w:w="1099" w:type="pct"/>
            <w:vAlign w:val="bottom"/>
          </w:tcPr>
          <w:p>
            <w:pPr>
              <w:keepNext/>
              <w:spacing w:after="0" w:line="240" w:lineRule="auto"/>
              <w:jc w:val="right"/>
              <w:rPr>
                <w:b/>
                <w:bCs/>
                <w:sz w:val="18"/>
                <w:szCs w:val="18"/>
                <w:lang w:val="fr-CA"/>
              </w:rPr>
            </w:pPr>
            <w:r>
              <w:rPr>
                <w:rFonts w:eastAsia="Arial" w:cs="Arial"/>
                <w:b/>
                <w:bCs/>
                <w:sz w:val="18"/>
                <w:szCs w:val="18"/>
                <w:lang w:val="fr-CA"/>
              </w:rPr>
              <w:t>844 000</w:t>
            </w:r>
            <w:r>
              <w:rPr>
                <w:b/>
                <w:bCs/>
                <w:sz w:val="18"/>
                <w:szCs w:val="18"/>
                <w:lang w:val="fr-CA"/>
              </w:rPr>
              <w:t> $</w:t>
            </w:r>
          </w:p>
        </w:tc>
      </w:tr>
    </w:tbl>
    <w:p>
      <w:pPr>
        <w:pStyle w:val="TextJustified"/>
        <w:keepNext/>
        <w:spacing w:before="240" w:after="0" w:line="240" w:lineRule="auto"/>
        <w:rPr>
          <w:b/>
          <w:bCs/>
          <w:sz w:val="18"/>
          <w:szCs w:val="18"/>
          <w:lang w:val="fr-CA"/>
        </w:rPr>
      </w:pPr>
      <w:r>
        <w:rPr>
          <w:b/>
          <w:bCs/>
          <w:sz w:val="18"/>
          <w:szCs w:val="18"/>
          <w:lang w:val="fr-CA"/>
        </w:rPr>
        <w:t>Notes :</w:t>
      </w:r>
    </w:p>
    <w:p>
      <w:pPr>
        <w:pStyle w:val="TextJustified"/>
        <w:keepNext/>
        <w:spacing w:after="0" w:line="240" w:lineRule="auto"/>
        <w:rPr>
          <w:sz w:val="18"/>
          <w:szCs w:val="18"/>
          <w:lang w:val="fr-CA"/>
        </w:rPr>
      </w:pPr>
      <w:r>
        <w:rPr>
          <w:sz w:val="18"/>
          <w:szCs w:val="18"/>
          <w:lang w:val="fr-CA"/>
        </w:rPr>
        <w:t>(1)</w:t>
      </w:r>
      <w:r>
        <w:rPr>
          <w:sz w:val="18"/>
          <w:szCs w:val="18"/>
          <w:lang w:val="fr-CA"/>
        </w:rPr>
        <w:tab/>
        <w:t xml:space="preserve">Cette somme ne tient pas compte du placement simultané. </w:t>
      </w:r>
    </w:p>
    <w:p>
      <w:pPr>
        <w:pStyle w:val="TextJustified"/>
        <w:keepNext/>
        <w:spacing w:after="0" w:line="240" w:lineRule="auto"/>
        <w:ind w:left="720" w:hanging="720"/>
        <w:rPr>
          <w:sz w:val="18"/>
          <w:szCs w:val="18"/>
          <w:lang w:val="fr-CA"/>
        </w:rPr>
      </w:pPr>
      <w:r>
        <w:rPr>
          <w:sz w:val="18"/>
          <w:szCs w:val="18"/>
          <w:lang w:val="fr-CA"/>
        </w:rPr>
        <w:t>(2)</w:t>
      </w:r>
      <w:r>
        <w:rPr>
          <w:sz w:val="18"/>
          <w:szCs w:val="18"/>
          <w:lang w:val="fr-CA"/>
        </w:rPr>
        <w:tab/>
        <w:t xml:space="preserve">En présumant que le nombre maximal d’unités faisant l’objet du présent placement sont souscrites, la Société prévoit qu'une tranche d'environ 700 000 $ des fonds qui seront tirés du présent placement proviendront de </w:t>
      </w:r>
      <w:r>
        <w:rPr>
          <w:sz w:val="18"/>
          <w:szCs w:val="18"/>
          <w:lang w:val="fr-CA"/>
        </w:rPr>
        <w:lastRenderedPageBreak/>
        <w:t xml:space="preserve">certaines personnes qualifiées. Par conséquent, elle prévoit verser une commission d’intermédiaire, en espèces ou sous forme de bons de souscription, à ces personnes qualifiées. </w:t>
      </w:r>
    </w:p>
    <w:p>
      <w:pPr>
        <w:pStyle w:val="TextJustified"/>
        <w:spacing w:line="240" w:lineRule="auto"/>
        <w:ind w:left="720" w:hanging="720"/>
        <w:rPr>
          <w:sz w:val="18"/>
          <w:szCs w:val="18"/>
          <w:lang w:val="fr-CA"/>
        </w:rPr>
      </w:pPr>
      <w:r>
        <w:rPr>
          <w:sz w:val="18"/>
          <w:szCs w:val="18"/>
          <w:lang w:val="fr-CA"/>
        </w:rPr>
        <w:t>(3)</w:t>
      </w:r>
      <w:r>
        <w:rPr>
          <w:sz w:val="18"/>
          <w:szCs w:val="18"/>
          <w:lang w:val="fr-CA"/>
        </w:rPr>
        <w:tab/>
        <w:t xml:space="preserve">L’insuffisance du fonds de roulement de la Société au 31 janvier 2023 est estimée à environ 90 000 $, ce qui est attribuable au fait que la Société n’a pas réussi à réunir suffisamment de fonds au cours de la dernière période. </w:t>
      </w:r>
    </w:p>
    <w:p>
      <w:pPr>
        <w:pStyle w:val="Subtitle"/>
        <w:spacing w:line="240" w:lineRule="auto"/>
        <w:rPr>
          <w:lang w:val="fr-CA"/>
        </w:rPr>
      </w:pPr>
      <w:r>
        <w:rPr>
          <w:lang w:val="fr-CA"/>
        </w:rPr>
        <w:t xml:space="preserve">Comment les fonds disponibles seront-ils employés? </w:t>
      </w:r>
    </w:p>
    <w:tbl>
      <w:tblPr>
        <w:tblStyle w:val="TableGrid"/>
        <w:tblW w:w="5000" w:type="pct"/>
        <w:tblLook w:val="04A0" w:firstRow="1" w:lastRow="0" w:firstColumn="1" w:lastColumn="0" w:noHBand="0" w:noVBand="1"/>
      </w:tblPr>
      <w:tblGrid>
        <w:gridCol w:w="5240"/>
        <w:gridCol w:w="2055"/>
        <w:gridCol w:w="2055"/>
      </w:tblGrid>
      <w:tr>
        <w:tc>
          <w:tcPr>
            <w:tcW w:w="2802" w:type="pct"/>
            <w:shd w:val="clear" w:color="auto" w:fill="D9D9D9" w:themeFill="background1" w:themeFillShade="D9"/>
          </w:tcPr>
          <w:p>
            <w:pPr>
              <w:pStyle w:val="TableText"/>
              <w:keepNext/>
              <w:spacing w:line="240" w:lineRule="auto"/>
              <w:rPr>
                <w:b/>
                <w:bCs/>
                <w:sz w:val="18"/>
                <w:szCs w:val="18"/>
                <w:lang w:val="fr-CA"/>
              </w:rPr>
            </w:pPr>
            <w:r>
              <w:rPr>
                <w:b/>
                <w:bCs/>
                <w:sz w:val="18"/>
                <w:szCs w:val="18"/>
                <w:lang w:val="fr-CA"/>
              </w:rPr>
              <w:t xml:space="preserve">Description de l’emploi prévu des fonds </w:t>
            </w:r>
            <w:r>
              <w:rPr>
                <w:b/>
                <w:bCs/>
                <w:sz w:val="18"/>
                <w:szCs w:val="18"/>
                <w:lang w:val="fr-CA"/>
              </w:rPr>
              <w:br/>
              <w:t>disponibles, par ordre de priorité</w:t>
            </w:r>
          </w:p>
        </w:tc>
        <w:tc>
          <w:tcPr>
            <w:tcW w:w="1099" w:type="pct"/>
            <w:shd w:val="clear" w:color="auto" w:fill="D9D9D9" w:themeFill="background1" w:themeFillShade="D9"/>
          </w:tcPr>
          <w:p>
            <w:pPr>
              <w:pStyle w:val="TableText"/>
              <w:keepNext/>
              <w:spacing w:line="240" w:lineRule="auto"/>
              <w:jc w:val="center"/>
              <w:rPr>
                <w:b/>
                <w:bCs/>
                <w:sz w:val="18"/>
                <w:szCs w:val="18"/>
                <w:lang w:val="fr-CA"/>
              </w:rPr>
            </w:pPr>
            <w:r>
              <w:rPr>
                <w:b/>
                <w:bCs/>
                <w:sz w:val="18"/>
                <w:szCs w:val="18"/>
                <w:lang w:val="fr-CA"/>
              </w:rPr>
              <w:t xml:space="preserve">Dans l’hypothèse </w:t>
            </w:r>
            <w:r>
              <w:rPr>
                <w:b/>
                <w:bCs/>
                <w:sz w:val="18"/>
                <w:szCs w:val="18"/>
                <w:lang w:val="fr-CA"/>
              </w:rPr>
              <w:br/>
              <w:t xml:space="preserve">d’un montant minimum </w:t>
            </w:r>
            <w:r>
              <w:rPr>
                <w:b/>
                <w:bCs/>
                <w:sz w:val="18"/>
                <w:szCs w:val="18"/>
                <w:lang w:val="fr-CA"/>
              </w:rPr>
              <w:br/>
              <w:t>seulement</w:t>
            </w:r>
          </w:p>
        </w:tc>
        <w:tc>
          <w:tcPr>
            <w:tcW w:w="1099" w:type="pct"/>
            <w:shd w:val="clear" w:color="auto" w:fill="D9D9D9" w:themeFill="background1" w:themeFillShade="D9"/>
          </w:tcPr>
          <w:p>
            <w:pPr>
              <w:pStyle w:val="TableText"/>
              <w:keepNext/>
              <w:spacing w:line="240" w:lineRule="auto"/>
              <w:jc w:val="center"/>
              <w:rPr>
                <w:b/>
                <w:bCs/>
                <w:sz w:val="18"/>
                <w:szCs w:val="18"/>
                <w:lang w:val="fr-CA"/>
              </w:rPr>
            </w:pPr>
            <w:r>
              <w:rPr>
                <w:b/>
                <w:bCs/>
                <w:sz w:val="18"/>
                <w:szCs w:val="18"/>
                <w:lang w:val="fr-CA"/>
              </w:rPr>
              <w:t>Dans l’hypothèse de la prise en livraison</w:t>
            </w:r>
            <w:r>
              <w:rPr>
                <w:b/>
                <w:bCs/>
                <w:sz w:val="18"/>
                <w:szCs w:val="18"/>
                <w:lang w:val="fr-CA"/>
              </w:rPr>
              <w:br/>
              <w:t>de 100 % des</w:t>
            </w:r>
            <w:r>
              <w:rPr>
                <w:b/>
                <w:bCs/>
                <w:sz w:val="18"/>
                <w:szCs w:val="18"/>
                <w:lang w:val="fr-CA"/>
              </w:rPr>
              <w:br/>
              <w:t>titres placés</w:t>
            </w:r>
          </w:p>
        </w:tc>
      </w:tr>
      <w:tr>
        <w:tc>
          <w:tcPr>
            <w:tcW w:w="2802" w:type="pct"/>
          </w:tcPr>
          <w:p>
            <w:pPr>
              <w:keepNext/>
              <w:spacing w:before="60" w:after="60" w:line="240" w:lineRule="auto"/>
              <w:rPr>
                <w:sz w:val="18"/>
                <w:szCs w:val="18"/>
                <w:lang w:val="fr-CA"/>
              </w:rPr>
            </w:pPr>
            <w:r>
              <w:rPr>
                <w:sz w:val="18"/>
                <w:szCs w:val="18"/>
                <w:lang w:val="fr-CA"/>
              </w:rPr>
              <w:t xml:space="preserve">Frais d’exploration – </w:t>
            </w:r>
            <w:r>
              <w:rPr>
                <w:rFonts w:eastAsia="Times New Roman" w:cs="Arial"/>
                <w:color w:val="000000"/>
                <w:sz w:val="18"/>
                <w:szCs w:val="18"/>
                <w:lang w:val="fr-CA"/>
              </w:rPr>
              <w:t xml:space="preserve">Terrain recelant du lithium </w:t>
            </w:r>
            <w:r>
              <w:rPr>
                <w:sz w:val="18"/>
                <w:szCs w:val="18"/>
                <w:lang w:val="fr-CA"/>
              </w:rPr>
              <w:t xml:space="preserve">Smokey </w:t>
            </w:r>
          </w:p>
        </w:tc>
        <w:tc>
          <w:tcPr>
            <w:tcW w:w="1099" w:type="pct"/>
            <w:vAlign w:val="center"/>
          </w:tcPr>
          <w:p>
            <w:pPr>
              <w:keepNext/>
              <w:spacing w:before="60" w:after="60" w:line="240" w:lineRule="auto"/>
              <w:jc w:val="right"/>
              <w:rPr>
                <w:rFonts w:eastAsia="Times New Roman" w:cs="Arial"/>
                <w:color w:val="000000"/>
                <w:sz w:val="18"/>
                <w:szCs w:val="18"/>
                <w:lang w:val="fr-CA"/>
              </w:rPr>
            </w:pPr>
            <w:r>
              <w:rPr>
                <w:rFonts w:eastAsia="Times New Roman" w:cs="Arial"/>
                <w:color w:val="000000"/>
                <w:sz w:val="18"/>
                <w:szCs w:val="18"/>
                <w:lang w:val="fr-CA"/>
              </w:rPr>
              <w:t xml:space="preserve"> S.O. </w:t>
            </w:r>
          </w:p>
        </w:tc>
        <w:tc>
          <w:tcPr>
            <w:tcW w:w="1099" w:type="pct"/>
            <w:shd w:val="clear" w:color="auto" w:fill="auto"/>
            <w:vAlign w:val="center"/>
          </w:tcPr>
          <w:p>
            <w:pPr>
              <w:keepNext/>
              <w:spacing w:before="60" w:after="60" w:line="240" w:lineRule="auto"/>
              <w:jc w:val="right"/>
              <w:rPr>
                <w:rFonts w:eastAsia="Times New Roman" w:cs="Arial"/>
                <w:color w:val="000000"/>
                <w:sz w:val="18"/>
                <w:szCs w:val="18"/>
                <w:lang w:val="fr-CA"/>
              </w:rPr>
            </w:pPr>
            <w:r>
              <w:rPr>
                <w:rFonts w:eastAsia="Times New Roman" w:cs="Arial"/>
                <w:color w:val="000000"/>
                <w:sz w:val="18"/>
                <w:szCs w:val="18"/>
                <w:lang w:val="fr-CA"/>
              </w:rPr>
              <w:t xml:space="preserve"> 340 000 $ </w:t>
            </w:r>
          </w:p>
        </w:tc>
      </w:tr>
      <w:tr>
        <w:tc>
          <w:tcPr>
            <w:tcW w:w="2802" w:type="pct"/>
          </w:tcPr>
          <w:p>
            <w:pPr>
              <w:keepNext/>
              <w:spacing w:before="60" w:after="60" w:line="240" w:lineRule="auto"/>
              <w:rPr>
                <w:sz w:val="18"/>
                <w:szCs w:val="18"/>
                <w:lang w:val="fr-CA"/>
              </w:rPr>
            </w:pPr>
            <w:r>
              <w:rPr>
                <w:sz w:val="18"/>
                <w:szCs w:val="18"/>
                <w:lang w:val="fr-CA"/>
              </w:rPr>
              <w:t>Frais d’exploration – Projet Black Diablo</w:t>
            </w:r>
          </w:p>
        </w:tc>
        <w:tc>
          <w:tcPr>
            <w:tcW w:w="1099" w:type="pct"/>
            <w:vAlign w:val="center"/>
          </w:tcPr>
          <w:p>
            <w:pPr>
              <w:keepNext/>
              <w:spacing w:before="60" w:after="60" w:line="240" w:lineRule="auto"/>
              <w:jc w:val="right"/>
              <w:rPr>
                <w:rFonts w:eastAsia="Times New Roman" w:cs="Arial"/>
                <w:color w:val="000000"/>
                <w:sz w:val="18"/>
                <w:szCs w:val="18"/>
                <w:lang w:val="fr-CA"/>
              </w:rPr>
            </w:pPr>
            <w:r>
              <w:rPr>
                <w:rFonts w:eastAsia="Times New Roman" w:cs="Arial"/>
                <w:color w:val="000000"/>
                <w:sz w:val="18"/>
                <w:szCs w:val="18"/>
                <w:lang w:val="fr-CA"/>
              </w:rPr>
              <w:t xml:space="preserve"> S.O. </w:t>
            </w:r>
          </w:p>
        </w:tc>
        <w:tc>
          <w:tcPr>
            <w:tcW w:w="1099" w:type="pct"/>
            <w:shd w:val="clear" w:color="auto" w:fill="auto"/>
            <w:vAlign w:val="center"/>
          </w:tcPr>
          <w:p>
            <w:pPr>
              <w:keepNext/>
              <w:spacing w:before="60" w:after="60" w:line="240" w:lineRule="auto"/>
              <w:jc w:val="right"/>
              <w:rPr>
                <w:rFonts w:eastAsia="Times New Roman" w:cs="Arial"/>
                <w:color w:val="000000"/>
                <w:sz w:val="18"/>
                <w:szCs w:val="18"/>
                <w:lang w:val="fr-CA"/>
              </w:rPr>
            </w:pPr>
            <w:r>
              <w:rPr>
                <w:rFonts w:eastAsia="Times New Roman" w:cs="Arial"/>
                <w:color w:val="000000"/>
                <w:sz w:val="18"/>
                <w:szCs w:val="18"/>
                <w:lang w:val="fr-CA"/>
              </w:rPr>
              <w:t xml:space="preserve"> 40 000 $</w:t>
            </w:r>
          </w:p>
        </w:tc>
      </w:tr>
      <w:tr>
        <w:tc>
          <w:tcPr>
            <w:tcW w:w="2802" w:type="pct"/>
          </w:tcPr>
          <w:p>
            <w:pPr>
              <w:keepNext/>
              <w:spacing w:before="60" w:after="60" w:line="240" w:lineRule="auto"/>
              <w:rPr>
                <w:sz w:val="18"/>
                <w:szCs w:val="18"/>
                <w:lang w:val="fr-CA"/>
              </w:rPr>
            </w:pPr>
            <w:r>
              <w:rPr>
                <w:sz w:val="18"/>
                <w:szCs w:val="18"/>
                <w:lang w:val="fr-CA"/>
              </w:rPr>
              <w:t>Fonds de roulement</w:t>
            </w:r>
          </w:p>
        </w:tc>
        <w:tc>
          <w:tcPr>
            <w:tcW w:w="1099" w:type="pct"/>
            <w:vAlign w:val="center"/>
          </w:tcPr>
          <w:p>
            <w:pPr>
              <w:keepNext/>
              <w:spacing w:before="60" w:after="60" w:line="240" w:lineRule="auto"/>
              <w:jc w:val="right"/>
              <w:rPr>
                <w:rFonts w:eastAsia="Times New Roman" w:cs="Arial"/>
                <w:color w:val="000000"/>
                <w:sz w:val="18"/>
                <w:szCs w:val="18"/>
                <w:lang w:val="fr-CA"/>
              </w:rPr>
            </w:pPr>
            <w:r>
              <w:rPr>
                <w:rFonts w:eastAsia="Times New Roman" w:cs="Arial"/>
                <w:color w:val="000000"/>
                <w:sz w:val="18"/>
                <w:szCs w:val="18"/>
                <w:lang w:val="fr-CA"/>
              </w:rPr>
              <w:t xml:space="preserve"> S.O. </w:t>
            </w:r>
          </w:p>
        </w:tc>
        <w:tc>
          <w:tcPr>
            <w:tcW w:w="1099" w:type="pct"/>
            <w:shd w:val="clear" w:color="auto" w:fill="auto"/>
            <w:vAlign w:val="center"/>
          </w:tcPr>
          <w:p>
            <w:pPr>
              <w:keepNext/>
              <w:spacing w:before="60" w:after="60" w:line="240" w:lineRule="auto"/>
              <w:jc w:val="right"/>
              <w:rPr>
                <w:rFonts w:eastAsia="Times New Roman" w:cs="Arial"/>
                <w:color w:val="000000"/>
                <w:sz w:val="18"/>
                <w:szCs w:val="18"/>
                <w:lang w:val="fr-CA"/>
              </w:rPr>
            </w:pPr>
            <w:r>
              <w:rPr>
                <w:rFonts w:eastAsia="Times New Roman" w:cs="Arial"/>
                <w:color w:val="000000"/>
                <w:sz w:val="18"/>
                <w:szCs w:val="18"/>
                <w:lang w:val="fr-CA"/>
              </w:rPr>
              <w:t xml:space="preserve"> 444 000 $ </w:t>
            </w:r>
          </w:p>
        </w:tc>
      </w:tr>
      <w:tr>
        <w:tc>
          <w:tcPr>
            <w:tcW w:w="2802" w:type="pct"/>
          </w:tcPr>
          <w:p>
            <w:pPr>
              <w:pStyle w:val="TableText"/>
              <w:spacing w:line="240" w:lineRule="auto"/>
              <w:rPr>
                <w:sz w:val="18"/>
                <w:szCs w:val="18"/>
                <w:lang w:val="fr-CA"/>
              </w:rPr>
            </w:pPr>
            <w:r>
              <w:rPr>
                <w:b/>
                <w:bCs/>
                <w:sz w:val="18"/>
                <w:szCs w:val="18"/>
                <w:lang w:val="fr-CA"/>
              </w:rPr>
              <w:t>Total</w:t>
            </w:r>
          </w:p>
        </w:tc>
        <w:tc>
          <w:tcPr>
            <w:tcW w:w="1099" w:type="pct"/>
            <w:vAlign w:val="center"/>
          </w:tcPr>
          <w:p>
            <w:pPr>
              <w:spacing w:before="60" w:after="60" w:line="240" w:lineRule="auto"/>
              <w:jc w:val="right"/>
              <w:rPr>
                <w:rFonts w:eastAsia="Times New Roman" w:cs="Arial"/>
                <w:b/>
                <w:bCs/>
                <w:color w:val="000000"/>
                <w:sz w:val="18"/>
                <w:szCs w:val="18"/>
                <w:lang w:val="fr-CA"/>
              </w:rPr>
            </w:pPr>
            <w:r>
              <w:rPr>
                <w:rFonts w:eastAsia="Times New Roman" w:cs="Arial"/>
                <w:b/>
                <w:bCs/>
                <w:color w:val="000000"/>
                <w:sz w:val="18"/>
                <w:szCs w:val="18"/>
                <w:lang w:val="fr-CA"/>
              </w:rPr>
              <w:t xml:space="preserve"> S.O. </w:t>
            </w:r>
          </w:p>
        </w:tc>
        <w:tc>
          <w:tcPr>
            <w:tcW w:w="1099" w:type="pct"/>
            <w:shd w:val="clear" w:color="auto" w:fill="auto"/>
            <w:vAlign w:val="center"/>
          </w:tcPr>
          <w:p>
            <w:pPr>
              <w:spacing w:before="60" w:after="60" w:line="240" w:lineRule="auto"/>
              <w:jc w:val="right"/>
              <w:rPr>
                <w:rFonts w:eastAsia="Times New Roman" w:cs="Arial"/>
                <w:b/>
                <w:bCs/>
                <w:color w:val="000000"/>
                <w:sz w:val="18"/>
                <w:szCs w:val="18"/>
                <w:lang w:val="fr-CA"/>
              </w:rPr>
            </w:pPr>
            <w:r>
              <w:rPr>
                <w:rFonts w:eastAsia="Times New Roman" w:cs="Arial"/>
                <w:b/>
                <w:bCs/>
                <w:color w:val="000000"/>
                <w:sz w:val="18"/>
                <w:szCs w:val="18"/>
                <w:lang w:val="fr-CA"/>
              </w:rPr>
              <w:t xml:space="preserve"> 834 000 $ </w:t>
            </w:r>
          </w:p>
        </w:tc>
      </w:tr>
    </w:tbl>
    <w:p>
      <w:pPr>
        <w:spacing w:line="240" w:lineRule="auto"/>
        <w:rPr>
          <w:lang w:val="fr-CA"/>
        </w:rPr>
      </w:pPr>
    </w:p>
    <w:p>
      <w:pPr>
        <w:pStyle w:val="TextJustified"/>
        <w:spacing w:line="240" w:lineRule="auto"/>
        <w:rPr>
          <w:rFonts w:eastAsia="Arial"/>
          <w:spacing w:val="-3"/>
          <w:lang w:val="fr-CA"/>
        </w:rPr>
      </w:pPr>
      <w:r>
        <w:rPr>
          <w:lang w:val="fr-CA"/>
        </w:rPr>
        <w:t>La Société a actuellement l’intention d’employer les fonds disponibles selon ce qui est indiqué dans le tableau qui figure ci</w:t>
      </w:r>
      <w:r>
        <w:rPr>
          <w:lang w:val="fr-CA"/>
        </w:rPr>
        <w:noBreakHyphen/>
        <w:t xml:space="preserve">dessus, étant donné </w:t>
      </w:r>
      <w:r>
        <w:rPr>
          <w:rFonts w:eastAsia="Arial"/>
          <w:spacing w:val="-3"/>
          <w:lang w:val="fr-CA"/>
        </w:rPr>
        <w:t>ses projets et sa situation financière actuels, mais cela pourrait changer à l’avenir au fur et à mesure que ses projets et sa situation financière évolueront. Bien que la Société entende employer le produit du présent placement comme il est indiqué ci</w:t>
      </w:r>
      <w:r>
        <w:rPr>
          <w:rFonts w:eastAsia="Arial"/>
          <w:spacing w:val="-3"/>
          <w:lang w:val="fr-CA"/>
        </w:rPr>
        <w:noBreakHyphen/>
        <w:t>dessus, il se pourrait, dans certaines circonstances, pour des motifs commerciaux valables, qu’elle juge prudent ou nécessaire de l’employer à d’autres fins qui pourraient différer considérablement de celles qui sont indiquées ci</w:t>
      </w:r>
      <w:r>
        <w:rPr>
          <w:rFonts w:eastAsia="Arial"/>
          <w:spacing w:val="-3"/>
          <w:lang w:val="fr-CA"/>
        </w:rPr>
        <w:noBreakHyphen/>
        <w:t>dessus, car la manière dont ces sommes seront effectivement affectées et dépensées dépendra d’un certain nombre de facteurs, y compris la mesure dans laquelle la Société réussira à exécuter son plan d’affaires. Se reporter à la rubrique intitulée « </w:t>
      </w:r>
      <w:r>
        <w:rPr>
          <w:rFonts w:eastAsia="Arial"/>
          <w:i/>
          <w:iCs/>
          <w:spacing w:val="-3"/>
          <w:lang w:val="fr-CA"/>
        </w:rPr>
        <w:t>Mise en garde relative à l’information prospective</w:t>
      </w:r>
      <w:r>
        <w:rPr>
          <w:rFonts w:eastAsia="Arial"/>
          <w:spacing w:val="-3"/>
          <w:lang w:val="fr-CA"/>
        </w:rPr>
        <w:t> » ci</w:t>
      </w:r>
      <w:r>
        <w:rPr>
          <w:rFonts w:eastAsia="Arial"/>
          <w:spacing w:val="-3"/>
          <w:lang w:val="fr-CA"/>
        </w:rPr>
        <w:noBreakHyphen/>
        <w:t xml:space="preserve">dessus. </w:t>
      </w:r>
    </w:p>
    <w:p>
      <w:pPr>
        <w:pStyle w:val="TextJustified"/>
        <w:spacing w:line="240" w:lineRule="auto"/>
        <w:rPr>
          <w:lang w:val="fr-CA"/>
        </w:rPr>
      </w:pPr>
      <w:r>
        <w:rPr>
          <w:rFonts w:eastAsia="Arial"/>
          <w:spacing w:val="-3"/>
          <w:lang w:val="fr-CA"/>
        </w:rPr>
        <w:t xml:space="preserve">Les états financiers intermédiaires les plus récents de la Société comprenaient une note quant à la continuité de son entreprise. Les fonds réunis conformément aux présentes devraient réduire la nécessité d’insérer une telle note dans les états financiers de la prochaine période. </w:t>
      </w:r>
    </w:p>
    <w:p>
      <w:pPr>
        <w:pStyle w:val="Subtitle"/>
        <w:tabs>
          <w:tab w:val="left" w:pos="7290"/>
        </w:tabs>
        <w:spacing w:line="240" w:lineRule="auto"/>
        <w:rPr>
          <w:lang w:val="fr-CA"/>
        </w:rPr>
      </w:pPr>
      <w:r>
        <w:rPr>
          <w:lang w:val="fr-CA"/>
        </w:rPr>
        <w:t>Comment les autres fonds recueillis au cours des 12 derniers mois ont</w:t>
      </w:r>
      <w:r>
        <w:rPr>
          <w:lang w:val="fr-CA"/>
        </w:rPr>
        <w:noBreakHyphen/>
        <w:t>ils été employés?</w:t>
      </w:r>
    </w:p>
    <w:p>
      <w:pPr>
        <w:pStyle w:val="TextLeft"/>
        <w:keepNext/>
        <w:spacing w:line="240" w:lineRule="auto"/>
        <w:jc w:val="both"/>
        <w:rPr>
          <w:rFonts w:eastAsia="Arial" w:cs="Arial"/>
          <w:lang w:val="fr-CA"/>
        </w:rPr>
      </w:pPr>
      <w:r>
        <w:rPr>
          <w:lang w:val="fr-CA"/>
        </w:rPr>
        <w:t>Au cours des 12 derniers mois</w:t>
      </w:r>
      <w:r>
        <w:rPr>
          <w:rFonts w:eastAsia="Arial" w:cs="Arial"/>
          <w:lang w:val="fr-CA"/>
        </w:rPr>
        <w:t xml:space="preserve">, la Société a réuni un produit brut global de 172 150 $. Ce produit a été employé comme suit : </w:t>
      </w:r>
    </w:p>
    <w:tbl>
      <w:tblPr>
        <w:tblStyle w:val="TableGrid"/>
        <w:tblW w:w="5000" w:type="pct"/>
        <w:tblLook w:val="04A0" w:firstRow="1" w:lastRow="0" w:firstColumn="1" w:lastColumn="0" w:noHBand="0" w:noVBand="1"/>
      </w:tblPr>
      <w:tblGrid>
        <w:gridCol w:w="2874"/>
        <w:gridCol w:w="2366"/>
        <w:gridCol w:w="4110"/>
      </w:tblGrid>
      <w:tr>
        <w:trPr>
          <w:cantSplit/>
          <w:trHeight w:val="20"/>
          <w:tblHeader/>
        </w:trPr>
        <w:tc>
          <w:tcPr>
            <w:tcW w:w="1537" w:type="pct"/>
            <w:shd w:val="clear" w:color="auto" w:fill="D9D9D9" w:themeFill="background1" w:themeFillShade="D9"/>
          </w:tcPr>
          <w:p>
            <w:pPr>
              <w:pStyle w:val="TableText"/>
              <w:spacing w:line="240" w:lineRule="auto"/>
              <w:rPr>
                <w:b/>
                <w:bCs/>
                <w:sz w:val="18"/>
                <w:szCs w:val="18"/>
                <w:lang w:val="fr-CA"/>
              </w:rPr>
            </w:pPr>
            <w:r>
              <w:rPr>
                <w:b/>
                <w:bCs/>
                <w:sz w:val="18"/>
                <w:szCs w:val="18"/>
                <w:lang w:val="fr-CA"/>
              </w:rPr>
              <w:t>Description</w:t>
            </w:r>
          </w:p>
        </w:tc>
        <w:tc>
          <w:tcPr>
            <w:tcW w:w="1265" w:type="pct"/>
            <w:shd w:val="clear" w:color="auto" w:fill="D9D9D9" w:themeFill="background1" w:themeFillShade="D9"/>
          </w:tcPr>
          <w:p>
            <w:pPr>
              <w:pStyle w:val="TableText"/>
              <w:spacing w:line="240" w:lineRule="auto"/>
              <w:jc w:val="center"/>
              <w:rPr>
                <w:b/>
                <w:bCs/>
                <w:sz w:val="18"/>
                <w:szCs w:val="18"/>
                <w:lang w:val="fr-CA"/>
              </w:rPr>
            </w:pPr>
            <w:r>
              <w:rPr>
                <w:b/>
                <w:bCs/>
                <w:sz w:val="18"/>
                <w:szCs w:val="18"/>
                <w:lang w:val="fr-CA"/>
              </w:rPr>
              <w:t>Montant</w:t>
            </w:r>
          </w:p>
        </w:tc>
        <w:tc>
          <w:tcPr>
            <w:tcW w:w="2198" w:type="pct"/>
            <w:shd w:val="clear" w:color="auto" w:fill="D9D9D9" w:themeFill="background1" w:themeFillShade="D9"/>
          </w:tcPr>
          <w:p>
            <w:pPr>
              <w:pStyle w:val="TableText"/>
              <w:spacing w:line="240" w:lineRule="auto"/>
              <w:jc w:val="center"/>
              <w:rPr>
                <w:b/>
                <w:bCs/>
                <w:sz w:val="18"/>
                <w:szCs w:val="18"/>
                <w:lang w:val="fr-CA"/>
              </w:rPr>
            </w:pPr>
            <w:r>
              <w:rPr>
                <w:b/>
                <w:bCs/>
                <w:sz w:val="18"/>
                <w:szCs w:val="18"/>
                <w:lang w:val="fr-CA"/>
              </w:rPr>
              <w:t>Variation par rapport à l’emploi du produit indiqué auparavant, le cas échéant, et motif de la variation</w:t>
            </w:r>
          </w:p>
        </w:tc>
      </w:tr>
      <w:tr>
        <w:trPr>
          <w:trHeight w:val="20"/>
        </w:trPr>
        <w:tc>
          <w:tcPr>
            <w:tcW w:w="1537" w:type="pct"/>
          </w:tcPr>
          <w:p>
            <w:pPr>
              <w:spacing w:before="60" w:after="60" w:line="240" w:lineRule="auto"/>
              <w:rPr>
                <w:sz w:val="18"/>
                <w:szCs w:val="18"/>
                <w:lang w:val="fr-CA"/>
              </w:rPr>
            </w:pPr>
            <w:r>
              <w:rPr>
                <w:rFonts w:eastAsia="Arial" w:cs="Arial"/>
                <w:sz w:val="18"/>
                <w:szCs w:val="18"/>
                <w:lang w:val="fr-CA"/>
              </w:rPr>
              <w:t>Fonds de roulement</w:t>
            </w:r>
          </w:p>
        </w:tc>
        <w:tc>
          <w:tcPr>
            <w:tcW w:w="1265" w:type="pct"/>
            <w:vAlign w:val="center"/>
          </w:tcPr>
          <w:p>
            <w:pPr>
              <w:spacing w:before="60" w:after="60" w:line="240" w:lineRule="auto"/>
              <w:jc w:val="right"/>
              <w:rPr>
                <w:sz w:val="18"/>
                <w:szCs w:val="18"/>
                <w:lang w:val="fr-CA"/>
              </w:rPr>
            </w:pPr>
            <w:r>
              <w:rPr>
                <w:rFonts w:eastAsia="Arial" w:cs="Arial"/>
                <w:sz w:val="18"/>
                <w:szCs w:val="18"/>
                <w:lang w:val="fr-CA"/>
              </w:rPr>
              <w:t>172 150 $</w:t>
            </w:r>
          </w:p>
        </w:tc>
        <w:tc>
          <w:tcPr>
            <w:tcW w:w="2198" w:type="pct"/>
            <w:vAlign w:val="center"/>
          </w:tcPr>
          <w:p>
            <w:pPr>
              <w:spacing w:before="60" w:after="60" w:line="240" w:lineRule="auto"/>
              <w:jc w:val="right"/>
              <w:rPr>
                <w:sz w:val="18"/>
                <w:szCs w:val="18"/>
                <w:lang w:val="fr-CA"/>
              </w:rPr>
            </w:pPr>
            <w:r>
              <w:rPr>
                <w:sz w:val="18"/>
                <w:szCs w:val="18"/>
                <w:lang w:val="fr-CA"/>
              </w:rPr>
              <w:t>S.O.</w:t>
            </w:r>
          </w:p>
        </w:tc>
      </w:tr>
      <w:tr>
        <w:trPr>
          <w:trHeight w:val="20"/>
        </w:trPr>
        <w:tc>
          <w:tcPr>
            <w:tcW w:w="1537" w:type="pct"/>
          </w:tcPr>
          <w:p>
            <w:pPr>
              <w:spacing w:before="60" w:after="60" w:line="240" w:lineRule="auto"/>
              <w:rPr>
                <w:sz w:val="18"/>
                <w:szCs w:val="18"/>
                <w:lang w:val="fr-CA"/>
              </w:rPr>
            </w:pPr>
            <w:r>
              <w:rPr>
                <w:rFonts w:eastAsia="Arial" w:cs="Arial"/>
                <w:b/>
                <w:bCs/>
                <w:sz w:val="18"/>
                <w:szCs w:val="18"/>
                <w:lang w:val="fr-CA"/>
              </w:rPr>
              <w:t>Total</w:t>
            </w:r>
          </w:p>
        </w:tc>
        <w:tc>
          <w:tcPr>
            <w:tcW w:w="1265" w:type="pct"/>
            <w:vAlign w:val="center"/>
          </w:tcPr>
          <w:p>
            <w:pPr>
              <w:spacing w:before="60" w:after="60" w:line="240" w:lineRule="auto"/>
              <w:jc w:val="right"/>
              <w:rPr>
                <w:b/>
                <w:bCs/>
                <w:sz w:val="18"/>
                <w:szCs w:val="18"/>
                <w:lang w:val="fr-CA"/>
              </w:rPr>
            </w:pPr>
            <w:r>
              <w:rPr>
                <w:rFonts w:eastAsia="Arial" w:cs="Arial"/>
                <w:b/>
                <w:bCs/>
                <w:sz w:val="18"/>
                <w:szCs w:val="18"/>
                <w:lang w:val="fr-CA"/>
              </w:rPr>
              <w:t>172 150 $</w:t>
            </w:r>
          </w:p>
        </w:tc>
        <w:tc>
          <w:tcPr>
            <w:tcW w:w="2198" w:type="pct"/>
            <w:vAlign w:val="center"/>
          </w:tcPr>
          <w:p>
            <w:pPr>
              <w:spacing w:before="60" w:after="60" w:line="240" w:lineRule="auto"/>
              <w:jc w:val="right"/>
              <w:rPr>
                <w:b/>
                <w:bCs/>
                <w:sz w:val="18"/>
                <w:szCs w:val="18"/>
                <w:lang w:val="fr-CA"/>
              </w:rPr>
            </w:pPr>
            <w:r>
              <w:rPr>
                <w:b/>
                <w:bCs/>
                <w:sz w:val="18"/>
                <w:szCs w:val="18"/>
                <w:lang w:val="fr-CA"/>
              </w:rPr>
              <w:t>S.O.</w:t>
            </w:r>
          </w:p>
        </w:tc>
      </w:tr>
    </w:tbl>
    <w:p>
      <w:pPr>
        <w:pStyle w:val="Subtitle"/>
        <w:spacing w:before="240" w:line="240" w:lineRule="auto"/>
        <w:jc w:val="center"/>
        <w:rPr>
          <w:lang w:val="fr-CA"/>
        </w:rPr>
      </w:pPr>
      <w:r>
        <w:rPr>
          <w:lang w:val="fr-CA"/>
        </w:rPr>
        <w:t>FRAIS ET COMMISSIONS</w:t>
      </w:r>
    </w:p>
    <w:p>
      <w:pPr>
        <w:pStyle w:val="Subtitle"/>
        <w:spacing w:line="240" w:lineRule="auto"/>
        <w:jc w:val="both"/>
        <w:rPr>
          <w:lang w:val="fr-CA"/>
        </w:rPr>
      </w:pPr>
      <w:r>
        <w:rPr>
          <w:lang w:val="fr-CA"/>
        </w:rPr>
        <w:t>Qui sont les courtiers ou les intermédiaires que nous avons engagés dans le cadre du présent placement, le cas échéant, et quelle est leur rémunération?</w:t>
      </w:r>
    </w:p>
    <w:p>
      <w:pPr>
        <w:pStyle w:val="Subtitle"/>
        <w:keepNext w:val="0"/>
        <w:spacing w:line="240" w:lineRule="auto"/>
        <w:jc w:val="both"/>
        <w:rPr>
          <w:b w:val="0"/>
          <w:bCs/>
          <w:szCs w:val="20"/>
          <w:lang w:val="fr-CA"/>
        </w:rPr>
      </w:pPr>
      <w:r>
        <w:rPr>
          <w:b w:val="0"/>
          <w:bCs/>
          <w:lang w:val="fr-CA"/>
        </w:rPr>
        <w:t>La Société n’a engagé aucun courtier dans le cadre du présent placement</w:t>
      </w:r>
      <w:bookmarkStart w:id="3" w:name="_Hlk126227159"/>
      <w:r>
        <w:rPr>
          <w:b w:val="0"/>
          <w:bCs/>
          <w:szCs w:val="20"/>
          <w:lang w:val="fr-CA"/>
        </w:rPr>
        <w:t>. Elle pourrait verser aux intermédiaires qualifiés une commission de 8 % payable en espèces et en bons de souscription.</w:t>
      </w:r>
      <w:bookmarkEnd w:id="3"/>
    </w:p>
    <w:p>
      <w:pPr>
        <w:pStyle w:val="Subtitle"/>
        <w:spacing w:line="240" w:lineRule="auto"/>
        <w:jc w:val="center"/>
        <w:rPr>
          <w:lang w:val="fr-CA"/>
        </w:rPr>
      </w:pPr>
      <w:r>
        <w:rPr>
          <w:lang w:val="fr-CA"/>
        </w:rPr>
        <w:lastRenderedPageBreak/>
        <w:t>DROITS DU SOUSCRIPTEUR</w:t>
      </w:r>
    </w:p>
    <w:p>
      <w:pPr>
        <w:pStyle w:val="TextJustified"/>
        <w:keepNext/>
        <w:spacing w:line="240" w:lineRule="auto"/>
        <w:rPr>
          <w:b/>
          <w:bCs/>
          <w:lang w:val="fr-CA"/>
        </w:rPr>
      </w:pPr>
      <w:r>
        <w:rPr>
          <w:b/>
          <w:bCs/>
          <w:lang w:val="fr-CA"/>
        </w:rPr>
        <w:t xml:space="preserve">Droits d’action pour information fausse ou trompeuse </w:t>
      </w:r>
    </w:p>
    <w:p>
      <w:pPr>
        <w:pStyle w:val="TextJustified"/>
        <w:keepNext/>
        <w:spacing w:line="240" w:lineRule="auto"/>
        <w:rPr>
          <w:b/>
          <w:bCs/>
          <w:lang w:val="fr-CA"/>
        </w:rPr>
      </w:pPr>
      <w:r>
        <w:rPr>
          <w:b/>
          <w:bCs/>
          <w:lang w:val="fr-CA"/>
        </w:rPr>
        <w:t xml:space="preserve">Si le présent document d’offre contient de l’information fausse ou trompeuse, vous pouvez opposer à la Société l’un des droits suivants : </w:t>
      </w:r>
    </w:p>
    <w:p>
      <w:pPr>
        <w:pStyle w:val="Heading2"/>
        <w:spacing w:after="120" w:line="240" w:lineRule="auto"/>
        <w:rPr>
          <w:b/>
          <w:bCs w:val="0"/>
          <w:lang w:val="fr-CA"/>
        </w:rPr>
      </w:pPr>
      <w:r>
        <w:rPr>
          <w:b/>
          <w:bCs w:val="0"/>
          <w:lang w:val="fr-CA"/>
        </w:rPr>
        <w:t xml:space="preserve">le droit de résoudre votre contrat de souscription avec la Société; </w:t>
      </w:r>
    </w:p>
    <w:p>
      <w:pPr>
        <w:pStyle w:val="Heading2"/>
        <w:spacing w:line="240" w:lineRule="auto"/>
        <w:jc w:val="both"/>
        <w:rPr>
          <w:b/>
          <w:bCs w:val="0"/>
          <w:lang w:val="fr-CA"/>
        </w:rPr>
      </w:pPr>
      <w:r>
        <w:rPr>
          <w:b/>
          <w:bCs w:val="0"/>
          <w:lang w:val="fr-CA"/>
        </w:rPr>
        <w:t xml:space="preserve">un droit d’action en dommages-intérêts contre la Société et, dans certains territoires, un droit d’action en dommages-intérêts prévu par la loi contre d’autres personnes. </w:t>
      </w:r>
    </w:p>
    <w:p>
      <w:pPr>
        <w:pStyle w:val="TextJustified"/>
        <w:spacing w:line="240" w:lineRule="auto"/>
        <w:rPr>
          <w:b/>
          <w:bCs/>
          <w:lang w:val="fr-CA"/>
        </w:rPr>
      </w:pPr>
      <w:r>
        <w:rPr>
          <w:b/>
          <w:bCs/>
          <w:lang w:val="fr-CA"/>
        </w:rPr>
        <w:t xml:space="preserve">Vous pouvez exercer ces droits même si vous ne vous êtes pas fondé sur l’information fausse ou trompeuse. Toutefois, les circonstances pourraient limiter vos droits, notamment si vous connaissiez la nature fausse ou trompeuse de l’information au moment de la souscription des titres. </w:t>
      </w:r>
    </w:p>
    <w:p>
      <w:pPr>
        <w:pStyle w:val="TextJustified"/>
        <w:spacing w:line="240" w:lineRule="auto"/>
        <w:rPr>
          <w:b/>
          <w:bCs/>
          <w:lang w:val="fr-CA"/>
        </w:rPr>
      </w:pPr>
      <w:r>
        <w:rPr>
          <w:b/>
          <w:bCs/>
          <w:lang w:val="fr-CA"/>
        </w:rPr>
        <w:t xml:space="preserve">Si vous comptez vous prévaloir des droits visés aux paragraphes a) et b), vous devez le faire dans des délais de prescription stricts. </w:t>
      </w:r>
    </w:p>
    <w:p>
      <w:pPr>
        <w:pStyle w:val="TextJustified"/>
        <w:spacing w:line="240" w:lineRule="auto"/>
        <w:rPr>
          <w:b/>
          <w:bCs/>
          <w:lang w:val="fr-CA"/>
        </w:rPr>
      </w:pPr>
      <w:r>
        <w:rPr>
          <w:b/>
          <w:bCs/>
          <w:lang w:val="fr-CA"/>
        </w:rPr>
        <w:t>On se reportera à la législation en valeurs mobilières applicable et on consultera éventuellement un avocat.</w:t>
      </w:r>
    </w:p>
    <w:p>
      <w:pPr>
        <w:pStyle w:val="Subtitle"/>
        <w:spacing w:line="240" w:lineRule="auto"/>
        <w:jc w:val="center"/>
        <w:rPr>
          <w:lang w:val="fr-CA"/>
        </w:rPr>
      </w:pPr>
      <w:r>
        <w:rPr>
          <w:lang w:val="fr-CA"/>
        </w:rPr>
        <w:t>RENSEIGNEMENTS SUPPLÉMENTAIRES</w:t>
      </w:r>
    </w:p>
    <w:p>
      <w:pPr>
        <w:pStyle w:val="Subtitle"/>
        <w:spacing w:line="240" w:lineRule="auto"/>
        <w:rPr>
          <w:lang w:val="fr-CA"/>
        </w:rPr>
      </w:pPr>
      <w:r>
        <w:rPr>
          <w:lang w:val="fr-CA"/>
        </w:rPr>
        <w:t>Où trouver des renseignements supplémentaires au sujet de la Société?</w:t>
      </w:r>
    </w:p>
    <w:p>
      <w:pPr>
        <w:pStyle w:val="TextJustified"/>
        <w:spacing w:line="240" w:lineRule="auto"/>
        <w:rPr>
          <w:color w:val="000000" w:themeColor="text1"/>
          <w:lang w:val="fr-CA"/>
        </w:rPr>
      </w:pPr>
      <w:r>
        <w:rPr>
          <w:lang w:val="fr-CA"/>
        </w:rPr>
        <w:t xml:space="preserve">Les porteurs de titres </w:t>
      </w:r>
      <w:r>
        <w:rPr>
          <w:color w:val="000000" w:themeColor="text1"/>
          <w:lang w:val="fr-CA"/>
        </w:rPr>
        <w:t xml:space="preserve">peuvent consulter les documents d’information continue de la Société sur SEDAR, au </w:t>
      </w:r>
      <w:hyperlink r:id="rId16" w:history="1">
        <w:r>
          <w:rPr>
            <w:rStyle w:val="Hyperlink"/>
            <w:color w:val="000000" w:themeColor="text1"/>
            <w:lang w:val="fr-CA"/>
          </w:rPr>
          <w:t>www.sedar.com</w:t>
        </w:r>
      </w:hyperlink>
      <w:r>
        <w:rPr>
          <w:color w:val="000000" w:themeColor="text1"/>
          <w:lang w:val="fr-CA"/>
        </w:rPr>
        <w:t>, sous le profil de celle</w:t>
      </w:r>
      <w:r>
        <w:rPr>
          <w:color w:val="000000" w:themeColor="text1"/>
          <w:lang w:val="fr-CA"/>
        </w:rPr>
        <w:noBreakHyphen/>
        <w:t>ci.</w:t>
      </w:r>
    </w:p>
    <w:p>
      <w:pPr>
        <w:pStyle w:val="TextJustified"/>
        <w:spacing w:line="240" w:lineRule="auto"/>
        <w:rPr>
          <w:color w:val="000000" w:themeColor="text1"/>
          <w:lang w:val="fr-CA"/>
        </w:rPr>
      </w:pPr>
      <w:r>
        <w:rPr>
          <w:color w:val="000000" w:themeColor="text1"/>
          <w:lang w:val="fr-CA"/>
        </w:rPr>
        <w:t xml:space="preserve">Pour obtenir de plus amples renseignements sur la Société, veuillez visiter son site Web à l’adresse </w:t>
      </w:r>
      <w:hyperlink r:id="rId17" w:history="1">
        <w:r>
          <w:rPr>
            <w:rStyle w:val="Hyperlink"/>
            <w:color w:val="000000" w:themeColor="text1"/>
            <w:lang w:val="fr-CA"/>
          </w:rPr>
          <w:t>www.victorybatterymetals.com</w:t>
        </w:r>
      </w:hyperlink>
      <w:r>
        <w:rPr>
          <w:color w:val="000000" w:themeColor="text1"/>
          <w:lang w:val="fr-CA"/>
        </w:rPr>
        <w:t>.</w:t>
      </w:r>
    </w:p>
    <w:p>
      <w:pPr>
        <w:pStyle w:val="TextJustified"/>
        <w:spacing w:line="240" w:lineRule="auto"/>
        <w:rPr>
          <w:b/>
          <w:bCs/>
          <w:i/>
          <w:iCs/>
          <w:lang w:val="fr-CA"/>
        </w:rPr>
      </w:pPr>
      <w:r>
        <w:rPr>
          <w:b/>
          <w:bCs/>
          <w:i/>
          <w:iCs/>
          <w:lang w:val="fr-CA"/>
        </w:rPr>
        <w:t xml:space="preserve">Les épargnants devraient lire le présent document d’offre et consulter leur conseiller professionnel afin d’évaluer les conséquences fiscales, les aspects juridiques, les facteurs de risque et les autres aspects d’un placement dans les unités. </w:t>
      </w:r>
    </w:p>
    <w:p>
      <w:pPr>
        <w:spacing w:line="240" w:lineRule="auto"/>
        <w:rPr>
          <w:b/>
          <w:bCs/>
          <w:i/>
          <w:iCs/>
          <w:lang w:val="fr-CA"/>
        </w:rPr>
      </w:pPr>
      <w:r>
        <w:rPr>
          <w:b/>
          <w:bCs/>
          <w:i/>
          <w:iCs/>
          <w:lang w:val="fr-CA"/>
        </w:rPr>
        <w:br w:type="page"/>
      </w:r>
    </w:p>
    <w:p>
      <w:pPr>
        <w:pStyle w:val="Subtitle"/>
        <w:keepLines/>
        <w:spacing w:line="240" w:lineRule="auto"/>
        <w:jc w:val="center"/>
        <w:rPr>
          <w:lang w:val="fr-CA"/>
        </w:rPr>
      </w:pPr>
      <w:r>
        <w:rPr>
          <w:lang w:val="fr-CA"/>
        </w:rPr>
        <w:lastRenderedPageBreak/>
        <w:t>ATTESTATION DE LA SOCIÉTÉ</w:t>
      </w:r>
    </w:p>
    <w:p>
      <w:pPr>
        <w:pStyle w:val="TextJustified"/>
        <w:keepNext/>
        <w:keepLines/>
        <w:spacing w:line="240" w:lineRule="auto"/>
        <w:rPr>
          <w:b/>
          <w:bCs/>
          <w:lang w:val="fr-CA"/>
        </w:rPr>
      </w:pPr>
      <w:r>
        <w:rPr>
          <w:b/>
          <w:bCs/>
          <w:lang w:val="fr-CA"/>
        </w:rPr>
        <w:t xml:space="preserve">Le présent document d’offre, ainsi que tout document déposé en vertu de la législation en valeurs mobilières dans un territoire du Canada à compter du 8 juin 2022, révèlent tous les faits importants au sujet des titres placés et ne contiennent aucune information fausse ou trompeuse. </w:t>
      </w:r>
    </w:p>
    <w:p>
      <w:pPr>
        <w:pStyle w:val="TextJustified"/>
        <w:keepNext/>
        <w:spacing w:line="240" w:lineRule="auto"/>
        <w:rPr>
          <w:b/>
          <w:bCs/>
          <w:lang w:val="fr-CA"/>
        </w:rPr>
      </w:pPr>
      <w:r>
        <w:rPr>
          <w:b/>
          <w:bCs/>
          <w:lang w:val="fr-CA"/>
        </w:rPr>
        <w:t>Le 15 février</w:t>
      </w:r>
      <w:r>
        <w:rPr>
          <w:rFonts w:eastAsia="Arial" w:cs="Arial"/>
          <w:b/>
          <w:bCs/>
          <w:lang w:val="fr-CA"/>
        </w:rPr>
        <w:t> </w:t>
      </w:r>
      <w:r>
        <w:rPr>
          <w:b/>
          <w:bCs/>
          <w:lang w:val="fr-CA"/>
        </w:rPr>
        <w:t>2023</w:t>
      </w:r>
    </w:p>
    <w:p>
      <w:pPr>
        <w:pStyle w:val="TextJustified"/>
        <w:keepNext/>
        <w:spacing w:line="240" w:lineRule="auto"/>
        <w:rPr>
          <w:b/>
          <w:bCs/>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
        <w:gridCol w:w="3289"/>
        <w:gridCol w:w="1026"/>
        <w:gridCol w:w="878"/>
        <w:gridCol w:w="3287"/>
      </w:tblGrid>
      <w:tr>
        <w:tc>
          <w:tcPr>
            <w:tcW w:w="470" w:type="pct"/>
          </w:tcPr>
          <w:p>
            <w:pPr>
              <w:keepNext/>
              <w:spacing w:after="0" w:line="240" w:lineRule="auto"/>
              <w:jc w:val="both"/>
              <w:rPr>
                <w:snapToGrid w:val="0"/>
                <w:lang w:val="fr-CA"/>
              </w:rPr>
            </w:pPr>
            <w:r>
              <w:rPr>
                <w:snapToGrid w:val="0"/>
                <w:lang w:val="fr-CA"/>
              </w:rPr>
              <w:t>(Signé)</w:t>
            </w:r>
          </w:p>
        </w:tc>
        <w:tc>
          <w:tcPr>
            <w:tcW w:w="1757" w:type="pct"/>
            <w:tcBorders>
              <w:bottom w:val="single" w:sz="4" w:space="0" w:color="auto"/>
            </w:tcBorders>
          </w:tcPr>
          <w:p>
            <w:pPr>
              <w:keepNext/>
              <w:spacing w:after="0" w:line="240" w:lineRule="auto"/>
              <w:jc w:val="both"/>
              <w:rPr>
                <w:snapToGrid w:val="0"/>
                <w:lang w:val="fr-CA"/>
              </w:rPr>
            </w:pPr>
            <w:r>
              <w:rPr>
                <w:snapToGrid w:val="0"/>
                <w:lang w:val="fr-CA"/>
              </w:rPr>
              <w:t>« </w:t>
            </w:r>
            <w:r>
              <w:rPr>
                <w:i/>
                <w:iCs/>
                <w:snapToGrid w:val="0"/>
                <w:lang w:val="fr-CA"/>
              </w:rPr>
              <w:t>Mark Ireton</w:t>
            </w:r>
            <w:r>
              <w:rPr>
                <w:snapToGrid w:val="0"/>
                <w:lang w:val="fr-CA"/>
              </w:rPr>
              <w:t> »</w:t>
            </w:r>
          </w:p>
        </w:tc>
        <w:tc>
          <w:tcPr>
            <w:tcW w:w="548" w:type="pct"/>
          </w:tcPr>
          <w:p>
            <w:pPr>
              <w:keepNext/>
              <w:spacing w:after="0" w:line="240" w:lineRule="auto"/>
              <w:jc w:val="both"/>
              <w:rPr>
                <w:snapToGrid w:val="0"/>
                <w:lang w:val="fr-CA"/>
              </w:rPr>
            </w:pPr>
          </w:p>
        </w:tc>
        <w:tc>
          <w:tcPr>
            <w:tcW w:w="469" w:type="pct"/>
          </w:tcPr>
          <w:p>
            <w:pPr>
              <w:keepNext/>
              <w:spacing w:after="0" w:line="240" w:lineRule="auto"/>
              <w:jc w:val="both"/>
              <w:rPr>
                <w:snapToGrid w:val="0"/>
                <w:lang w:val="fr-CA"/>
              </w:rPr>
            </w:pPr>
            <w:r>
              <w:rPr>
                <w:snapToGrid w:val="0"/>
                <w:lang w:val="fr-CA"/>
              </w:rPr>
              <w:t>(Signé)</w:t>
            </w:r>
          </w:p>
        </w:tc>
        <w:tc>
          <w:tcPr>
            <w:tcW w:w="1756" w:type="pct"/>
            <w:tcBorders>
              <w:bottom w:val="single" w:sz="4" w:space="0" w:color="auto"/>
            </w:tcBorders>
          </w:tcPr>
          <w:p>
            <w:pPr>
              <w:keepNext/>
              <w:spacing w:after="0" w:line="240" w:lineRule="auto"/>
              <w:jc w:val="both"/>
              <w:rPr>
                <w:iCs/>
                <w:snapToGrid w:val="0"/>
                <w:lang w:val="fr-CA"/>
              </w:rPr>
            </w:pPr>
            <w:r>
              <w:rPr>
                <w:iCs/>
                <w:snapToGrid w:val="0"/>
                <w:lang w:val="fr-CA"/>
              </w:rPr>
              <w:t>« </w:t>
            </w:r>
            <w:r>
              <w:rPr>
                <w:i/>
                <w:snapToGrid w:val="0"/>
                <w:lang w:val="fr-CA"/>
              </w:rPr>
              <w:t>Tatiana Kovaleva</w:t>
            </w:r>
            <w:r>
              <w:rPr>
                <w:iCs/>
                <w:snapToGrid w:val="0"/>
                <w:lang w:val="fr-CA"/>
              </w:rPr>
              <w:t> »</w:t>
            </w:r>
          </w:p>
        </w:tc>
      </w:tr>
      <w:tr>
        <w:tc>
          <w:tcPr>
            <w:tcW w:w="470" w:type="pct"/>
          </w:tcPr>
          <w:p>
            <w:pPr>
              <w:keepNext/>
              <w:spacing w:after="0" w:line="240" w:lineRule="auto"/>
              <w:jc w:val="both"/>
              <w:rPr>
                <w:snapToGrid w:val="0"/>
                <w:lang w:val="fr-CA"/>
              </w:rPr>
            </w:pPr>
            <w:r>
              <w:rPr>
                <w:snapToGrid w:val="0"/>
                <w:lang w:val="fr-CA"/>
              </w:rPr>
              <w:t>Nom :</w:t>
            </w:r>
          </w:p>
          <w:p>
            <w:pPr>
              <w:keepNext/>
              <w:spacing w:after="0" w:line="240" w:lineRule="auto"/>
              <w:jc w:val="both"/>
              <w:rPr>
                <w:snapToGrid w:val="0"/>
                <w:lang w:val="fr-CA"/>
              </w:rPr>
            </w:pPr>
            <w:r>
              <w:rPr>
                <w:snapToGrid w:val="0"/>
                <w:lang w:val="fr-CA"/>
              </w:rPr>
              <w:t>Titre :</w:t>
            </w:r>
          </w:p>
        </w:tc>
        <w:tc>
          <w:tcPr>
            <w:tcW w:w="1757" w:type="pct"/>
            <w:tcBorders>
              <w:top w:val="single" w:sz="4" w:space="0" w:color="auto"/>
            </w:tcBorders>
          </w:tcPr>
          <w:p>
            <w:pPr>
              <w:keepNext/>
              <w:spacing w:after="0" w:line="240" w:lineRule="auto"/>
              <w:jc w:val="both"/>
              <w:rPr>
                <w:snapToGrid w:val="0"/>
                <w:lang w:val="fr-CA"/>
              </w:rPr>
            </w:pPr>
            <w:r>
              <w:rPr>
                <w:snapToGrid w:val="0"/>
                <w:lang w:val="fr-CA"/>
              </w:rPr>
              <w:t>Mark Ireton</w:t>
            </w:r>
          </w:p>
          <w:p>
            <w:pPr>
              <w:keepNext/>
              <w:spacing w:after="0" w:line="240" w:lineRule="auto"/>
              <w:jc w:val="both"/>
              <w:rPr>
                <w:snapToGrid w:val="0"/>
                <w:lang w:val="fr-CA"/>
              </w:rPr>
            </w:pPr>
            <w:r>
              <w:rPr>
                <w:snapToGrid w:val="0"/>
                <w:lang w:val="fr-CA"/>
              </w:rPr>
              <w:t>Chef de la direction</w:t>
            </w:r>
          </w:p>
        </w:tc>
        <w:tc>
          <w:tcPr>
            <w:tcW w:w="548" w:type="pct"/>
          </w:tcPr>
          <w:p>
            <w:pPr>
              <w:keepNext/>
              <w:spacing w:after="0" w:line="240" w:lineRule="auto"/>
              <w:jc w:val="both"/>
              <w:rPr>
                <w:snapToGrid w:val="0"/>
                <w:lang w:val="fr-CA"/>
              </w:rPr>
            </w:pPr>
          </w:p>
        </w:tc>
        <w:tc>
          <w:tcPr>
            <w:tcW w:w="469" w:type="pct"/>
          </w:tcPr>
          <w:p>
            <w:pPr>
              <w:keepNext/>
              <w:spacing w:after="0" w:line="240" w:lineRule="auto"/>
              <w:jc w:val="both"/>
              <w:rPr>
                <w:snapToGrid w:val="0"/>
                <w:lang w:val="fr-CA"/>
              </w:rPr>
            </w:pPr>
            <w:r>
              <w:rPr>
                <w:snapToGrid w:val="0"/>
                <w:lang w:val="fr-CA"/>
              </w:rPr>
              <w:t>Nom :</w:t>
            </w:r>
          </w:p>
          <w:p>
            <w:pPr>
              <w:keepNext/>
              <w:spacing w:after="0" w:line="240" w:lineRule="auto"/>
              <w:jc w:val="both"/>
              <w:rPr>
                <w:snapToGrid w:val="0"/>
                <w:lang w:val="fr-CA"/>
              </w:rPr>
            </w:pPr>
            <w:r>
              <w:rPr>
                <w:snapToGrid w:val="0"/>
                <w:lang w:val="fr-CA"/>
              </w:rPr>
              <w:t>Titre :</w:t>
            </w:r>
          </w:p>
        </w:tc>
        <w:tc>
          <w:tcPr>
            <w:tcW w:w="1756" w:type="pct"/>
            <w:tcBorders>
              <w:top w:val="single" w:sz="4" w:space="0" w:color="auto"/>
            </w:tcBorders>
          </w:tcPr>
          <w:p>
            <w:pPr>
              <w:keepNext/>
              <w:spacing w:after="0" w:line="240" w:lineRule="auto"/>
              <w:jc w:val="both"/>
              <w:rPr>
                <w:snapToGrid w:val="0"/>
                <w:lang w:val="fr-CA"/>
              </w:rPr>
            </w:pPr>
            <w:r>
              <w:rPr>
                <w:snapToGrid w:val="0"/>
                <w:lang w:val="fr-CA"/>
              </w:rPr>
              <w:t>Tatiana Kovaleva</w:t>
            </w:r>
          </w:p>
          <w:p>
            <w:pPr>
              <w:keepNext/>
              <w:spacing w:after="0" w:line="240" w:lineRule="auto"/>
              <w:jc w:val="both"/>
              <w:rPr>
                <w:snapToGrid w:val="0"/>
                <w:lang w:val="fr-CA"/>
              </w:rPr>
            </w:pPr>
            <w:r>
              <w:rPr>
                <w:snapToGrid w:val="0"/>
                <w:lang w:val="fr-CA"/>
              </w:rPr>
              <w:t>Chef des finances</w:t>
            </w:r>
          </w:p>
        </w:tc>
      </w:tr>
      <w:bookmarkEnd w:id="1"/>
    </w:tbl>
    <w:p>
      <w:pPr>
        <w:spacing w:line="240" w:lineRule="auto"/>
        <w:contextualSpacing/>
        <w:rPr>
          <w:rFonts w:eastAsia="Calibri" w:cs="Arial"/>
          <w:sz w:val="16"/>
          <w:szCs w:val="16"/>
          <w:lang w:val="fr-CA"/>
        </w:rPr>
      </w:pPr>
    </w:p>
    <w:sectPr>
      <w:headerReference w:type="default" r:id="rId18"/>
      <w:headerReference w:type="first" r:id="rId1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 w:type="continuationNotice"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 w:type="continuationNotice" w:id="1">
    <w:p>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272065"/>
      <w:docPartObj>
        <w:docPartGallery w:val="Page Numbers (Top of Page)"/>
        <w:docPartUnique/>
      </w:docPartObj>
    </w:sdtPr>
    <w:sdtEndPr>
      <w:rPr>
        <w:noProof/>
      </w:rPr>
    </w:sdtEndPr>
    <w:sdtContent>
      <w:p>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pPr>
      <w:pStyle w:val="Header"/>
      <w:jc w:val="cente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844869"/>
      <w:docPartObj>
        <w:docPartGallery w:val="Page Numbers (Top of Page)"/>
        <w:docPartUnique/>
      </w:docPartObj>
    </w:sdtPr>
    <w:sdtEndPr>
      <w:rPr>
        <w:noProof/>
      </w:rPr>
    </w:sdtEndPr>
    <w:sdtContent>
      <w:p>
        <w:pPr>
          <w:pStyle w:val="Header"/>
          <w:jc w:val="center"/>
          <w:rPr>
            <w:noProof/>
          </w:rPr>
        </w:pPr>
        <w:r>
          <w:t xml:space="preserve">- </w:t>
        </w:r>
        <w:r>
          <w:fldChar w:fldCharType="begin"/>
        </w:r>
        <w:r>
          <w:instrText xml:space="preserve"> PAGE   \* MERGEFORMAT </w:instrText>
        </w:r>
        <w:r>
          <w:fldChar w:fldCharType="separate"/>
        </w:r>
        <w:r>
          <w:t>1</w:t>
        </w:r>
        <w:r>
          <w:rPr>
            <w:noProof/>
          </w:rPr>
          <w:fldChar w:fldCharType="end"/>
        </w:r>
        <w:r>
          <w:rPr>
            <w:noProof/>
          </w:rPr>
          <w:t xml:space="preserve"> -</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468466"/>
      <w:docPartObj>
        <w:docPartGallery w:val="Page Numbers (Top of Page)"/>
        <w:docPartUnique/>
      </w:docPartObj>
    </w:sdtPr>
    <w:sdtEndPr>
      <w:rPr>
        <w:noProof/>
      </w:rPr>
    </w:sdtEndPr>
    <w:sdtContent>
      <w:p>
        <w:pPr>
          <w:pStyle w:val="Header"/>
          <w:jc w:val="center"/>
          <w:rPr>
            <w:noProof/>
          </w:rPr>
        </w:pPr>
        <w:r>
          <w:t xml:space="preserve">- </w:t>
        </w:r>
        <w:r>
          <w:fldChar w:fldCharType="begin"/>
        </w:r>
        <w:r>
          <w:instrText xml:space="preserve"> PAGE   \* MERGEFORMAT </w:instrText>
        </w:r>
        <w:r>
          <w:fldChar w:fldCharType="separate"/>
        </w:r>
        <w:r>
          <w:t>8</w:t>
        </w:r>
        <w:r>
          <w:rPr>
            <w:noProof/>
          </w:rPr>
          <w:fldChar w:fldCharType="end"/>
        </w:r>
        <w:r>
          <w:rPr>
            <w:noProof/>
          </w:rPr>
          <w:t xml:space="preserve"> -</w:t>
        </w:r>
      </w:p>
    </w:sdtContent>
  </w:sdt>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A8D2AE"/>
    <w:name w:val="DocXtoolsCompanion_1"/>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5741412"/>
    <w:name w:val="DocXtoolsCompanion_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1A3772"/>
    <w:name w:val="DocXtoolsCompanion_3"/>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306972"/>
    <w:name w:val="DocXtoolsCompanion_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B04EE4"/>
    <w:name w:val="DocXtoolsCompanion_5"/>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44CF1C"/>
    <w:name w:val="DocXtoolsCompanion_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80016A"/>
    <w:name w:val="DocXtoolsCompanion_7"/>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3AF862"/>
    <w:name w:val="DocXtoolsCompanion_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D28A90"/>
    <w:name w:val="DocXtoolsCompanion_9"/>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D2F4D0"/>
    <w:name w:val="DocXtoolsCompanion_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696BF8"/>
    <w:multiLevelType w:val="hybridMultilevel"/>
    <w:tmpl w:val="15EC7F7C"/>
    <w:name w:val="DocXtoolsCompanion_11"/>
    <w:lvl w:ilvl="0" w:tplc="FFFFFFFF">
      <w:start w:val="1"/>
      <w:numFmt w:val="low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 w15:restartNumberingAfterBreak="0">
    <w:nsid w:val="158247C7"/>
    <w:multiLevelType w:val="hybridMultilevel"/>
    <w:tmpl w:val="FFF88D46"/>
    <w:name w:val="DocXtoolsCompanion_12"/>
    <w:lvl w:ilvl="0" w:tplc="52060B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52B2D"/>
    <w:multiLevelType w:val="hybridMultilevel"/>
    <w:tmpl w:val="55D8AE8A"/>
    <w:name w:val="DocXtoolsCompanion_13"/>
    <w:lvl w:ilvl="0" w:tplc="FFFFFFFF">
      <w:start w:val="1"/>
      <w:numFmt w:val="decimal"/>
      <w:lvlText w:val="(%1)"/>
      <w:lvlJc w:val="left"/>
      <w:pPr>
        <w:ind w:left="720" w:hanging="360"/>
      </w:pPr>
      <w:rPr>
        <w:rFonts w:ascii="Arial" w:hAnsi="Arial" w:hint="default"/>
        <w:b w:val="0"/>
        <w:i w:val="0"/>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8B2A2F82">
      <w:start w:val="1"/>
      <w:numFmt w:val="decimal"/>
      <w:lvlText w:val="(%6)"/>
      <w:lvlJc w:val="left"/>
      <w:pPr>
        <w:ind w:left="4320" w:hanging="180"/>
      </w:pPr>
      <w:rPr>
        <w:rFonts w:ascii="Arial" w:hAnsi="Arial" w:hint="default"/>
        <w:b w:val="0"/>
        <w:i w:val="0"/>
        <w:sz w:val="20"/>
        <w:szCs w:val="20"/>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AA5603E"/>
    <w:multiLevelType w:val="multilevel"/>
    <w:tmpl w:val="6A84DEAE"/>
    <w:name w:val="DocXtoolsCompanion_14"/>
    <w:styleLink w:val="CurrentList2"/>
    <w:lvl w:ilvl="0">
      <w:numFmt w:val="bullet"/>
      <w:lvlText w:val=""/>
      <w:lvlJc w:val="left"/>
      <w:pPr>
        <w:ind w:left="720" w:hanging="720"/>
      </w:pPr>
      <w:rPr>
        <w:rFonts w:ascii="Symbol" w:hAnsi="Symbol" w:hint="default"/>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Wingdings" w:hAnsi="Wingdings" w:hint="default"/>
      </w:rPr>
    </w:lvl>
    <w:lvl w:ilvl="3">
      <w:start w:val="1"/>
      <w:numFmt w:val="bullet"/>
      <w:lvlText w:val=""/>
      <w:lvlJc w:val="left"/>
      <w:pPr>
        <w:ind w:left="2880" w:hanging="72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14" w15:restartNumberingAfterBreak="0">
    <w:nsid w:val="1E391DED"/>
    <w:multiLevelType w:val="hybridMultilevel"/>
    <w:tmpl w:val="643E12C2"/>
    <w:name w:val="DocXtoolsCompanion_15"/>
    <w:lvl w:ilvl="0" w:tplc="3DD48246">
      <w:start w:val="1"/>
      <w:numFmt w:val="decimal"/>
      <w:lvlText w:val="(%1)"/>
      <w:lvlJc w:val="left"/>
      <w:pPr>
        <w:ind w:left="720" w:hanging="360"/>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92B8B"/>
    <w:multiLevelType w:val="hybridMultilevel"/>
    <w:tmpl w:val="0EA41D10"/>
    <w:name w:val="DocXtoolsCompanion_16"/>
    <w:lvl w:ilvl="0" w:tplc="04090017">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6" w15:restartNumberingAfterBreak="0">
    <w:nsid w:val="37323708"/>
    <w:multiLevelType w:val="multilevel"/>
    <w:tmpl w:val="7F1A90D8"/>
    <w:name w:val="Standard 1"/>
    <w:lvl w:ilvl="0">
      <w:start w:val="1"/>
      <w:numFmt w:val="decimal"/>
      <w:pStyle w:val="Heading1"/>
      <w:lvlText w:val="%1."/>
      <w:lvlJc w:val="left"/>
      <w:pPr>
        <w:tabs>
          <w:tab w:val="num" w:pos="720"/>
        </w:tabs>
        <w:ind w:left="720" w:hanging="720"/>
      </w:pPr>
      <w:rPr>
        <w:b w:val="0"/>
        <w:caps w:val="0"/>
        <w:color w:val="010000"/>
        <w:u w:val="none"/>
      </w:rPr>
    </w:lvl>
    <w:lvl w:ilvl="1">
      <w:start w:val="1"/>
      <w:numFmt w:val="lowerLetter"/>
      <w:pStyle w:val="Heading2"/>
      <w:lvlText w:val="%2)"/>
      <w:lvlJc w:val="left"/>
      <w:pPr>
        <w:tabs>
          <w:tab w:val="num" w:pos="1440"/>
        </w:tabs>
        <w:ind w:left="1440" w:hanging="720"/>
      </w:pPr>
      <w:rPr>
        <w:b/>
        <w:bCs/>
        <w:caps w:val="0"/>
        <w:color w:val="00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upperLetter"/>
      <w:pStyle w:val="Heading4"/>
      <w:lvlText w:val="%4."/>
      <w:lvlJc w:val="left"/>
      <w:pPr>
        <w:tabs>
          <w:tab w:val="num" w:pos="2880"/>
        </w:tabs>
        <w:ind w:left="2880" w:hanging="720"/>
      </w:pPr>
      <w:rPr>
        <w:caps w:val="0"/>
        <w:color w:val="010000"/>
        <w:u w:val="none"/>
      </w:rPr>
    </w:lvl>
    <w:lvl w:ilvl="4">
      <w:start w:val="1"/>
      <w:numFmt w:val="upperRoman"/>
      <w:pStyle w:val="Heading5"/>
      <w:lvlText w:val="%5."/>
      <w:lvlJc w:val="left"/>
      <w:pPr>
        <w:tabs>
          <w:tab w:val="num" w:pos="3600"/>
        </w:tabs>
        <w:ind w:left="3600" w:hanging="720"/>
      </w:pPr>
      <w:rPr>
        <w:caps w:val="0"/>
        <w:color w:val="010000"/>
        <w:u w:val="none"/>
      </w:rPr>
    </w:lvl>
    <w:lvl w:ilvl="5">
      <w:start w:val="1"/>
      <w:numFmt w:val="decimal"/>
      <w:pStyle w:val="Heading6"/>
      <w:lvlText w:val="(%6)"/>
      <w:lvlJc w:val="left"/>
      <w:pPr>
        <w:tabs>
          <w:tab w:val="num" w:pos="4320"/>
        </w:tabs>
        <w:ind w:left="4320" w:hanging="720"/>
      </w:pPr>
      <w:rPr>
        <w:caps w:val="0"/>
        <w:color w:val="010000"/>
        <w:u w:val="none"/>
      </w:rPr>
    </w:lvl>
    <w:lvl w:ilvl="6">
      <w:start w:val="1"/>
      <w:numFmt w:val="lowerLetter"/>
      <w:pStyle w:val="Heading7"/>
      <w:lvlText w:val="%7."/>
      <w:lvlJc w:val="left"/>
      <w:pPr>
        <w:tabs>
          <w:tab w:val="num" w:pos="5040"/>
        </w:tabs>
        <w:ind w:left="5040" w:hanging="720"/>
      </w:pPr>
      <w:rPr>
        <w:caps w:val="0"/>
        <w:color w:val="010000"/>
        <w:u w:val="none"/>
      </w:rPr>
    </w:lvl>
    <w:lvl w:ilvl="7">
      <w:start w:val="1"/>
      <w:numFmt w:val="decimal"/>
      <w:pStyle w:val="Heading8"/>
      <w:lvlText w:val="%8."/>
      <w:lvlJc w:val="left"/>
      <w:pPr>
        <w:tabs>
          <w:tab w:val="num" w:pos="5760"/>
        </w:tabs>
        <w:ind w:left="5760" w:hanging="720"/>
      </w:pPr>
      <w:rPr>
        <w:caps w:val="0"/>
        <w:color w:val="010000"/>
        <w:u w:val="none"/>
      </w:rPr>
    </w:lvl>
    <w:lvl w:ilvl="8">
      <w:start w:val="1"/>
      <w:numFmt w:val="upperLetter"/>
      <w:pStyle w:val="Heading9"/>
      <w:lvlText w:val="%9."/>
      <w:lvlJc w:val="left"/>
      <w:pPr>
        <w:tabs>
          <w:tab w:val="num" w:pos="6480"/>
        </w:tabs>
        <w:ind w:left="6480" w:hanging="720"/>
      </w:pPr>
      <w:rPr>
        <w:b w:val="0"/>
        <w:bCs w:val="0"/>
        <w:i w:val="0"/>
        <w:iCs w:val="0"/>
        <w:caps w:val="0"/>
        <w:smallCaps w:val="0"/>
        <w:strike w:val="0"/>
        <w:dstrike w:val="0"/>
        <w:noProof w:val="0"/>
        <w:vanish w:val="0"/>
        <w:color w:val="01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55CA62D6"/>
    <w:multiLevelType w:val="hybridMultilevel"/>
    <w:tmpl w:val="B9D6E692"/>
    <w:name w:val="DocXtoolsCompanion_18"/>
    <w:lvl w:ilvl="0" w:tplc="0610E7A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41962"/>
    <w:multiLevelType w:val="multilevel"/>
    <w:tmpl w:val="1068B178"/>
    <w:name w:val="DocXtoolsCompanion_19"/>
    <w:lvl w:ilvl="0">
      <w:numFmt w:val="bullet"/>
      <w:pStyle w:val="Bullet1"/>
      <w:lvlText w:val=""/>
      <w:lvlJc w:val="left"/>
      <w:pPr>
        <w:ind w:left="720" w:hanging="720"/>
      </w:pPr>
      <w:rPr>
        <w:rFonts w:ascii="Symbol" w:hAnsi="Symbol" w:hint="default"/>
      </w:rPr>
    </w:lvl>
    <w:lvl w:ilvl="1">
      <w:start w:val="1"/>
      <w:numFmt w:val="bullet"/>
      <w:pStyle w:val="Bullet2"/>
      <w:lvlText w:val=""/>
      <w:lvlJc w:val="left"/>
      <w:pPr>
        <w:ind w:left="1080" w:hanging="360"/>
      </w:pPr>
      <w:rPr>
        <w:rFonts w:ascii="Symbol" w:hAnsi="Symbol" w:hint="default"/>
        <w:color w:val="auto"/>
      </w:rPr>
    </w:lvl>
    <w:lvl w:ilvl="2">
      <w:start w:val="1"/>
      <w:numFmt w:val="bullet"/>
      <w:pStyle w:val="Bullet3"/>
      <w:lvlText w:val=""/>
      <w:lvlJc w:val="left"/>
      <w:pPr>
        <w:ind w:left="2160" w:hanging="720"/>
      </w:pPr>
      <w:rPr>
        <w:rFonts w:ascii="Wingdings" w:hAnsi="Wingdings" w:hint="default"/>
      </w:rPr>
    </w:lvl>
    <w:lvl w:ilvl="3">
      <w:start w:val="1"/>
      <w:numFmt w:val="bullet"/>
      <w:pStyle w:val="Bullet4"/>
      <w:lvlText w:val=""/>
      <w:lvlJc w:val="left"/>
      <w:pPr>
        <w:ind w:left="2880" w:hanging="72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19" w15:restartNumberingAfterBreak="0">
    <w:nsid w:val="79300574"/>
    <w:multiLevelType w:val="multilevel"/>
    <w:tmpl w:val="C44C4B14"/>
    <w:name w:val="DocXtoolsCompanion_20"/>
    <w:lvl w:ilvl="0">
      <w:numFmt w:val="bullet"/>
      <w:lvlText w:val=""/>
      <w:lvlJc w:val="left"/>
      <w:pPr>
        <w:ind w:left="5400" w:hanging="360"/>
      </w:pPr>
      <w:rPr>
        <w:rFonts w:ascii="Symbol" w:hAnsi="Symbol" w:hint="default"/>
      </w:rPr>
    </w:lvl>
    <w:lvl w:ilvl="1">
      <w:start w:val="1"/>
      <w:numFmt w:val="bullet"/>
      <w:lvlText w:val="o"/>
      <w:lvlJc w:val="left"/>
      <w:pPr>
        <w:ind w:left="5760" w:hanging="360"/>
      </w:pPr>
      <w:rPr>
        <w:rFonts w:ascii="Courier New" w:hAnsi="Courier New" w:hint="default"/>
      </w:rPr>
    </w:lvl>
    <w:lvl w:ilvl="2">
      <w:start w:val="1"/>
      <w:numFmt w:val="bullet"/>
      <w:lvlText w:val=""/>
      <w:lvlJc w:val="left"/>
      <w:pPr>
        <w:ind w:left="6120" w:hanging="360"/>
      </w:pPr>
      <w:rPr>
        <w:rFonts w:ascii="Wingdings" w:hAnsi="Wingdings" w:hint="default"/>
      </w:rPr>
    </w:lvl>
    <w:lvl w:ilvl="3">
      <w:start w:val="1"/>
      <w:numFmt w:val="bullet"/>
      <w:lvlText w:val=""/>
      <w:lvlJc w:val="left"/>
      <w:pPr>
        <w:ind w:left="9270" w:hanging="36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20" w15:restartNumberingAfterBreak="0">
    <w:nsid w:val="7F110AFD"/>
    <w:multiLevelType w:val="hybridMultilevel"/>
    <w:tmpl w:val="52FAB59E"/>
    <w:name w:val="DocXtoolsCompanion_21"/>
    <w:lvl w:ilvl="0" w:tplc="475C032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E41C1D"/>
    <w:multiLevelType w:val="multilevel"/>
    <w:tmpl w:val="82C65B88"/>
    <w:name w:val="DocXtoolsCompanion_22"/>
    <w:styleLink w:val="CurrentList1"/>
    <w:lvl w:ilvl="0">
      <w:numFmt w:val="bullet"/>
      <w:lvlText w:val=""/>
      <w:lvlJc w:val="left"/>
      <w:pPr>
        <w:ind w:left="720" w:hanging="72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2160" w:hanging="720"/>
      </w:pPr>
      <w:rPr>
        <w:rFonts w:ascii="Wingdings" w:hAnsi="Wingdings" w:hint="default"/>
      </w:rPr>
    </w:lvl>
    <w:lvl w:ilvl="3">
      <w:start w:val="1"/>
      <w:numFmt w:val="bullet"/>
      <w:lvlText w:val=""/>
      <w:lvlJc w:val="left"/>
      <w:pPr>
        <w:ind w:left="2880" w:hanging="72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num w:numId="1">
    <w:abstractNumId w:val="18"/>
  </w:num>
  <w:num w:numId="2">
    <w:abstractNumId w:val="16"/>
  </w:num>
  <w:num w:numId="3">
    <w:abstractNumId w:val="18"/>
    <w:lvlOverride w:ilvl="0">
      <w:startOverride w:val="1"/>
    </w:lvlOverride>
  </w:num>
  <w:num w:numId="4">
    <w:abstractNumId w:val="17"/>
  </w:num>
  <w:num w:numId="5">
    <w:abstractNumId w:val="17"/>
    <w:lvlOverride w:ilvl="0">
      <w:startOverride w:val="1"/>
    </w:lvlOverride>
  </w:num>
  <w:num w:numId="6">
    <w:abstractNumId w:val="11"/>
  </w:num>
  <w:num w:numId="7">
    <w:abstractNumId w:val="11"/>
    <w:lvlOverride w:ilvl="0">
      <w:startOverride w:val="1"/>
    </w:lvlOverride>
  </w:num>
  <w:num w:numId="8">
    <w:abstractNumId w:val="20"/>
  </w:num>
  <w:num w:numId="9">
    <w:abstractNumId w:val="20"/>
    <w:lvlOverride w:ilvl="0">
      <w:startOverride w:val="1"/>
    </w:lvlOverride>
  </w:num>
  <w:num w:numId="10">
    <w:abstractNumId w:val="20"/>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8"/>
  </w:num>
  <w:num w:numId="41">
    <w:abstractNumId w:val="21"/>
  </w:num>
  <w:num w:numId="42">
    <w:abstractNumId w:val="13"/>
  </w:num>
  <w:num w:numId="43">
    <w:abstractNumId w:val="14"/>
  </w:num>
  <w:num w:numId="44">
    <w:abstractNumId w:val="12"/>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8"/>
  </w:num>
  <w:num w:numId="49">
    <w:abstractNumId w:val="18"/>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A3B210B-1DBB-40F4-B7E3-0E291604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link w:val="Heading1Char"/>
    <w:qFormat/>
    <w:pPr>
      <w:numPr>
        <w:numId w:val="2"/>
      </w:numPr>
      <w:spacing w:after="240"/>
      <w:outlineLvl w:val="0"/>
    </w:pPr>
    <w:rPr>
      <w:rFonts w:eastAsiaTheme="majorEastAsia" w:cs="Arial"/>
      <w:bCs/>
      <w:color w:val="000000"/>
      <w:szCs w:val="28"/>
    </w:rPr>
  </w:style>
  <w:style w:type="paragraph" w:styleId="Heading2">
    <w:name w:val="heading 2"/>
    <w:basedOn w:val="Normal"/>
    <w:link w:val="Heading2Char"/>
    <w:unhideWhenUsed/>
    <w:qFormat/>
    <w:pPr>
      <w:numPr>
        <w:ilvl w:val="1"/>
        <w:numId w:val="2"/>
      </w:numPr>
      <w:spacing w:after="240"/>
      <w:outlineLvl w:val="1"/>
    </w:pPr>
    <w:rPr>
      <w:rFonts w:eastAsiaTheme="majorEastAsia" w:cs="Arial"/>
      <w:bCs/>
      <w:color w:val="000000"/>
      <w:szCs w:val="26"/>
    </w:rPr>
  </w:style>
  <w:style w:type="paragraph" w:styleId="Heading3">
    <w:name w:val="heading 3"/>
    <w:basedOn w:val="Normal"/>
    <w:link w:val="Heading3Char"/>
    <w:unhideWhenUsed/>
    <w:qFormat/>
    <w:pPr>
      <w:numPr>
        <w:ilvl w:val="2"/>
        <w:numId w:val="2"/>
      </w:numPr>
      <w:spacing w:after="240"/>
      <w:outlineLvl w:val="2"/>
    </w:pPr>
    <w:rPr>
      <w:rFonts w:eastAsiaTheme="majorEastAsia" w:cs="Arial"/>
      <w:bCs/>
      <w:color w:val="000000"/>
    </w:rPr>
  </w:style>
  <w:style w:type="paragraph" w:styleId="Heading4">
    <w:name w:val="heading 4"/>
    <w:basedOn w:val="Normal"/>
    <w:link w:val="Heading4Char"/>
    <w:unhideWhenUsed/>
    <w:qFormat/>
    <w:pPr>
      <w:numPr>
        <w:ilvl w:val="3"/>
        <w:numId w:val="2"/>
      </w:numPr>
      <w:spacing w:after="240"/>
      <w:outlineLvl w:val="3"/>
    </w:pPr>
    <w:rPr>
      <w:rFonts w:eastAsiaTheme="majorEastAsia" w:cs="Arial"/>
      <w:bCs/>
      <w:iCs/>
      <w:color w:val="000000"/>
    </w:rPr>
  </w:style>
  <w:style w:type="paragraph" w:styleId="Heading5">
    <w:name w:val="heading 5"/>
    <w:basedOn w:val="Normal"/>
    <w:link w:val="Heading5Char"/>
    <w:unhideWhenUsed/>
    <w:qFormat/>
    <w:pPr>
      <w:numPr>
        <w:ilvl w:val="4"/>
        <w:numId w:val="2"/>
      </w:numPr>
      <w:spacing w:after="240"/>
      <w:outlineLvl w:val="4"/>
    </w:pPr>
    <w:rPr>
      <w:rFonts w:eastAsiaTheme="majorEastAsia" w:cs="Arial"/>
      <w:color w:val="000000"/>
    </w:rPr>
  </w:style>
  <w:style w:type="paragraph" w:styleId="Heading6">
    <w:name w:val="heading 6"/>
    <w:basedOn w:val="Normal"/>
    <w:link w:val="Heading6Char"/>
    <w:unhideWhenUsed/>
    <w:qFormat/>
    <w:pPr>
      <w:numPr>
        <w:ilvl w:val="5"/>
        <w:numId w:val="2"/>
      </w:numPr>
      <w:spacing w:after="240"/>
      <w:outlineLvl w:val="5"/>
    </w:pPr>
    <w:rPr>
      <w:rFonts w:eastAsiaTheme="majorEastAsia" w:cs="Arial"/>
      <w:iCs/>
      <w:color w:val="000000"/>
    </w:rPr>
  </w:style>
  <w:style w:type="paragraph" w:styleId="Heading7">
    <w:name w:val="heading 7"/>
    <w:basedOn w:val="Normal"/>
    <w:link w:val="Heading7Char"/>
    <w:unhideWhenUsed/>
    <w:qFormat/>
    <w:pPr>
      <w:numPr>
        <w:ilvl w:val="6"/>
        <w:numId w:val="2"/>
      </w:numPr>
      <w:spacing w:after="240"/>
      <w:outlineLvl w:val="6"/>
    </w:pPr>
    <w:rPr>
      <w:rFonts w:eastAsiaTheme="majorEastAsia" w:cs="Arial"/>
      <w:iCs/>
      <w:color w:val="000000"/>
    </w:rPr>
  </w:style>
  <w:style w:type="paragraph" w:styleId="Heading8">
    <w:name w:val="heading 8"/>
    <w:basedOn w:val="Normal"/>
    <w:link w:val="Heading8Char"/>
    <w:unhideWhenUsed/>
    <w:qFormat/>
    <w:pPr>
      <w:numPr>
        <w:ilvl w:val="7"/>
        <w:numId w:val="2"/>
      </w:numPr>
      <w:spacing w:after="240"/>
      <w:outlineLvl w:val="7"/>
    </w:pPr>
    <w:rPr>
      <w:rFonts w:eastAsiaTheme="majorEastAsia" w:cs="Arial"/>
      <w:color w:val="000000"/>
    </w:rPr>
  </w:style>
  <w:style w:type="paragraph" w:styleId="Heading9">
    <w:name w:val="heading 9"/>
    <w:basedOn w:val="Normal"/>
    <w:link w:val="Heading9Char"/>
    <w:unhideWhenUsed/>
    <w:qFormat/>
    <w:pPr>
      <w:numPr>
        <w:ilvl w:val="8"/>
        <w:numId w:val="2"/>
      </w:numPr>
      <w:spacing w:after="240"/>
      <w:outlineLvl w:val="8"/>
    </w:pPr>
    <w:rPr>
      <w:rFonts w:eastAsiaTheme="majorEastAsia" w:cs="Arial"/>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lang w:val="en-CA"/>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lang w:val="en-CA"/>
    </w:rPr>
  </w:style>
  <w:style w:type="paragraph" w:customStyle="1" w:styleId="DocID">
    <w:name w:val="DocID"/>
    <w:basedOn w:val="Footer"/>
    <w:next w:val="Footer"/>
    <w:link w:val="DocIDChar"/>
    <w:pPr>
      <w:tabs>
        <w:tab w:val="clear" w:pos="4680"/>
        <w:tab w:val="clear" w:pos="9360"/>
      </w:tabs>
      <w:spacing w:line="240" w:lineRule="auto"/>
    </w:pPr>
    <w:rPr>
      <w:rFonts w:eastAsia="Times New Roman" w:cs="Arial"/>
      <w:sz w:val="16"/>
      <w:lang w:val="en-US"/>
    </w:rPr>
  </w:style>
  <w:style w:type="paragraph" w:customStyle="1" w:styleId="Block05">
    <w:name w:val="Block 0.5"/>
    <w:basedOn w:val="Normal"/>
    <w:qFormat/>
    <w:pPr>
      <w:spacing w:after="240"/>
      <w:ind w:left="720" w:right="720"/>
    </w:pPr>
  </w:style>
  <w:style w:type="paragraph" w:customStyle="1" w:styleId="Block10">
    <w:name w:val="Block 1.0"/>
    <w:basedOn w:val="Normal"/>
    <w:qFormat/>
    <w:pPr>
      <w:spacing w:after="240"/>
      <w:ind w:left="1440" w:right="1440"/>
    </w:pPr>
  </w:style>
  <w:style w:type="paragraph" w:customStyle="1" w:styleId="Block15">
    <w:name w:val="Block 1.5"/>
    <w:basedOn w:val="Normal"/>
    <w:qFormat/>
    <w:pPr>
      <w:spacing w:after="240"/>
      <w:ind w:left="2160" w:right="2160"/>
    </w:pPr>
  </w:style>
  <w:style w:type="paragraph" w:customStyle="1" w:styleId="Block20">
    <w:name w:val="Block 2.0"/>
    <w:basedOn w:val="Normal"/>
    <w:qFormat/>
    <w:pPr>
      <w:spacing w:after="240"/>
      <w:ind w:left="2880" w:right="2880"/>
    </w:pPr>
  </w:style>
  <w:style w:type="paragraph" w:customStyle="1" w:styleId="Citation1">
    <w:name w:val="Citation1"/>
    <w:basedOn w:val="Normal"/>
    <w:qFormat/>
    <w:pPr>
      <w:spacing w:after="240"/>
      <w:ind w:left="720" w:right="720"/>
    </w:pPr>
  </w:style>
  <w:style w:type="paragraph" w:customStyle="1" w:styleId="Jurat">
    <w:name w:val="Jurat"/>
    <w:basedOn w:val="Normal"/>
    <w:qFormat/>
    <w:pPr>
      <w:keepNext/>
      <w:tabs>
        <w:tab w:val="left" w:pos="4320"/>
      </w:tabs>
    </w:pPr>
  </w:style>
  <w:style w:type="paragraph" w:customStyle="1" w:styleId="Para1">
    <w:name w:val="Para1"/>
    <w:basedOn w:val="Normal"/>
    <w:link w:val="Para1Char"/>
    <w:pPr>
      <w:spacing w:after="240"/>
      <w:ind w:left="720"/>
    </w:pPr>
  </w:style>
  <w:style w:type="character" w:customStyle="1" w:styleId="Para1Char">
    <w:name w:val="Para1 Char"/>
    <w:basedOn w:val="DefaultParagraphFont"/>
    <w:link w:val="Para1"/>
    <w:rPr>
      <w:lang w:val="en-CA"/>
    </w:rPr>
  </w:style>
  <w:style w:type="paragraph" w:customStyle="1" w:styleId="Para2">
    <w:name w:val="Para2"/>
    <w:basedOn w:val="Normal"/>
    <w:link w:val="Para2Char"/>
    <w:pPr>
      <w:spacing w:after="240"/>
      <w:ind w:left="1440"/>
    </w:pPr>
  </w:style>
  <w:style w:type="character" w:customStyle="1" w:styleId="Para2Char">
    <w:name w:val="Para2 Char"/>
    <w:basedOn w:val="DefaultParagraphFont"/>
    <w:link w:val="Para2"/>
    <w:rPr>
      <w:lang w:val="en-CA"/>
    </w:rPr>
  </w:style>
  <w:style w:type="paragraph" w:customStyle="1" w:styleId="Para3">
    <w:name w:val="Para3"/>
    <w:basedOn w:val="Normal"/>
    <w:link w:val="Para3Char"/>
    <w:pPr>
      <w:spacing w:after="240"/>
      <w:ind w:left="2160"/>
    </w:pPr>
  </w:style>
  <w:style w:type="character" w:customStyle="1" w:styleId="Para3Char">
    <w:name w:val="Para3 Char"/>
    <w:basedOn w:val="DefaultParagraphFont"/>
    <w:link w:val="Para3"/>
    <w:rPr>
      <w:lang w:val="en-CA"/>
    </w:rPr>
  </w:style>
  <w:style w:type="paragraph" w:customStyle="1" w:styleId="Para4">
    <w:name w:val="Para4"/>
    <w:basedOn w:val="Normal"/>
    <w:link w:val="Para4Char"/>
    <w:pPr>
      <w:spacing w:after="240"/>
      <w:ind w:left="2880"/>
    </w:pPr>
  </w:style>
  <w:style w:type="paragraph" w:customStyle="1" w:styleId="ParaFirstLine05">
    <w:name w:val="Para First Line 0.5"/>
    <w:basedOn w:val="Normal"/>
    <w:qFormat/>
    <w:pPr>
      <w:spacing w:after="240"/>
      <w:ind w:firstLine="720"/>
    </w:pPr>
  </w:style>
  <w:style w:type="paragraph" w:customStyle="1" w:styleId="ParaFirstLine10">
    <w:name w:val="Para First Line 1.0"/>
    <w:basedOn w:val="Normal"/>
    <w:qFormat/>
    <w:pPr>
      <w:spacing w:after="240"/>
      <w:ind w:firstLine="1440"/>
    </w:pPr>
  </w:style>
  <w:style w:type="paragraph" w:customStyle="1" w:styleId="ParaHanging05">
    <w:name w:val="Para Hanging 0.5"/>
    <w:basedOn w:val="Normal"/>
    <w:qFormat/>
    <w:pPr>
      <w:spacing w:after="240"/>
      <w:ind w:left="720" w:hanging="720"/>
    </w:pPr>
  </w:style>
  <w:style w:type="paragraph" w:customStyle="1" w:styleId="Party">
    <w:name w:val="Party"/>
    <w:basedOn w:val="Normal"/>
    <w:qFormat/>
    <w:pPr>
      <w:spacing w:after="240"/>
      <w:ind w:left="720" w:right="720"/>
    </w:pPr>
  </w:style>
  <w:style w:type="paragraph" w:customStyle="1" w:styleId="Quote9pts05">
    <w:name w:val="Quote 9 pts 0.5"/>
    <w:basedOn w:val="Normal"/>
    <w:qFormat/>
    <w:pPr>
      <w:spacing w:after="240"/>
      <w:ind w:left="720" w:right="720"/>
    </w:pPr>
    <w:rPr>
      <w:sz w:val="18"/>
    </w:rPr>
  </w:style>
  <w:style w:type="paragraph" w:customStyle="1" w:styleId="Quote9pts10">
    <w:name w:val="Quote 9 pts 1.0"/>
    <w:basedOn w:val="Normal"/>
    <w:qFormat/>
    <w:pPr>
      <w:spacing w:after="240"/>
      <w:ind w:left="1440" w:right="1440"/>
    </w:pPr>
    <w:rPr>
      <w:sz w:val="18"/>
    </w:rPr>
  </w:style>
  <w:style w:type="paragraph" w:customStyle="1" w:styleId="Quote9pts15">
    <w:name w:val="Quote 9 pts 1.5"/>
    <w:basedOn w:val="Normal"/>
    <w:qFormat/>
    <w:pPr>
      <w:spacing w:after="240"/>
      <w:ind w:left="2160" w:right="2160"/>
    </w:pPr>
    <w:rPr>
      <w:sz w:val="18"/>
    </w:rPr>
  </w:style>
  <w:style w:type="paragraph" w:customStyle="1" w:styleId="Quote9pts20">
    <w:name w:val="Quote 9 pts 2.0"/>
    <w:basedOn w:val="Normal"/>
    <w:qFormat/>
    <w:pPr>
      <w:spacing w:after="240"/>
      <w:ind w:left="2880" w:right="2880"/>
    </w:pPr>
    <w:rPr>
      <w:sz w:val="18"/>
    </w:rPr>
  </w:style>
  <w:style w:type="paragraph" w:customStyle="1" w:styleId="Reference">
    <w:name w:val="Reference"/>
    <w:basedOn w:val="Normal"/>
    <w:qFormat/>
    <w:pPr>
      <w:spacing w:after="240"/>
      <w:ind w:left="2880" w:right="1440"/>
    </w:pPr>
    <w:rPr>
      <w:b/>
    </w:rPr>
  </w:style>
  <w:style w:type="paragraph" w:styleId="Signature">
    <w:name w:val="Signature"/>
    <w:basedOn w:val="Normal"/>
    <w:link w:val="SignatureChar"/>
    <w:uiPriority w:val="99"/>
    <w:qFormat/>
    <w:pPr>
      <w:tabs>
        <w:tab w:val="left" w:leader="underscore" w:pos="8640"/>
      </w:tabs>
      <w:spacing w:after="240"/>
      <w:ind w:left="4320"/>
    </w:pPr>
  </w:style>
  <w:style w:type="character" w:customStyle="1" w:styleId="SignatureChar">
    <w:name w:val="Signature Char"/>
    <w:basedOn w:val="DefaultParagraphFont"/>
    <w:link w:val="Signature"/>
    <w:uiPriority w:val="99"/>
    <w:rPr>
      <w:lang w:val="en-CA"/>
    </w:rPr>
  </w:style>
  <w:style w:type="character" w:customStyle="1" w:styleId="Heading1Char">
    <w:name w:val="Heading 1 Char"/>
    <w:basedOn w:val="DefaultParagraphFont"/>
    <w:link w:val="Heading1"/>
    <w:rPr>
      <w:rFonts w:eastAsiaTheme="majorEastAsia" w:cs="Arial"/>
      <w:bCs/>
      <w:color w:val="000000"/>
      <w:szCs w:val="28"/>
      <w:lang w:val="en-CA"/>
    </w:rPr>
  </w:style>
  <w:style w:type="paragraph" w:styleId="TOCHeading">
    <w:name w:val="TOC Heading"/>
    <w:basedOn w:val="Normal"/>
    <w:next w:val="Normal"/>
    <w:uiPriority w:val="39"/>
    <w:semiHidden/>
    <w:pPr>
      <w:spacing w:after="240"/>
      <w:jc w:val="center"/>
    </w:pPr>
    <w:rPr>
      <w:b/>
      <w:caps/>
    </w:rPr>
  </w:style>
  <w:style w:type="paragraph" w:styleId="TOC1">
    <w:name w:val="toc 1"/>
    <w:basedOn w:val="Normal"/>
    <w:next w:val="Normal"/>
    <w:autoRedefine/>
    <w:uiPriority w:val="39"/>
    <w:semiHidden/>
    <w:pPr>
      <w:spacing w:after="240"/>
      <w:ind w:right="432"/>
    </w:pPr>
  </w:style>
  <w:style w:type="paragraph" w:styleId="TOC2">
    <w:name w:val="toc 2"/>
    <w:basedOn w:val="Normal"/>
    <w:next w:val="Normal"/>
    <w:autoRedefine/>
    <w:uiPriority w:val="39"/>
    <w:semiHidden/>
    <w:pPr>
      <w:spacing w:after="240"/>
      <w:ind w:left="720" w:right="432"/>
    </w:pPr>
  </w:style>
  <w:style w:type="paragraph" w:styleId="TOC3">
    <w:name w:val="toc 3"/>
    <w:basedOn w:val="Normal"/>
    <w:next w:val="Normal"/>
    <w:autoRedefine/>
    <w:uiPriority w:val="39"/>
    <w:semiHidden/>
    <w:pPr>
      <w:spacing w:after="240"/>
      <w:ind w:left="1440" w:right="432"/>
    </w:pPr>
  </w:style>
  <w:style w:type="paragraph" w:styleId="TOC4">
    <w:name w:val="toc 4"/>
    <w:basedOn w:val="Normal"/>
    <w:next w:val="Normal"/>
    <w:autoRedefine/>
    <w:uiPriority w:val="39"/>
    <w:semiHidden/>
    <w:pPr>
      <w:spacing w:after="240"/>
      <w:ind w:left="2160" w:right="432"/>
    </w:pPr>
  </w:style>
  <w:style w:type="paragraph" w:styleId="TOC5">
    <w:name w:val="toc 5"/>
    <w:basedOn w:val="Normal"/>
    <w:next w:val="Normal"/>
    <w:autoRedefine/>
    <w:uiPriority w:val="39"/>
    <w:semiHidden/>
    <w:pPr>
      <w:spacing w:after="240"/>
      <w:ind w:left="1440" w:right="432"/>
    </w:pPr>
  </w:style>
  <w:style w:type="paragraph" w:styleId="TOC6">
    <w:name w:val="toc 6"/>
    <w:basedOn w:val="Normal"/>
    <w:next w:val="Normal"/>
    <w:autoRedefine/>
    <w:uiPriority w:val="39"/>
    <w:semiHidden/>
    <w:pPr>
      <w:spacing w:after="240"/>
      <w:ind w:left="3312" w:right="432"/>
    </w:pPr>
  </w:style>
  <w:style w:type="paragraph" w:styleId="TOC7">
    <w:name w:val="toc 7"/>
    <w:basedOn w:val="Normal"/>
    <w:next w:val="Normal"/>
    <w:autoRedefine/>
    <w:uiPriority w:val="39"/>
    <w:semiHidden/>
    <w:pPr>
      <w:spacing w:after="240"/>
      <w:ind w:left="4320" w:right="432"/>
    </w:pPr>
  </w:style>
  <w:style w:type="paragraph" w:styleId="TOC8">
    <w:name w:val="toc 8"/>
    <w:basedOn w:val="Normal"/>
    <w:next w:val="Normal"/>
    <w:autoRedefine/>
    <w:uiPriority w:val="39"/>
    <w:semiHidden/>
    <w:pPr>
      <w:spacing w:after="240"/>
      <w:ind w:left="5040" w:right="432"/>
    </w:pPr>
  </w:style>
  <w:style w:type="paragraph" w:styleId="TOC9">
    <w:name w:val="toc 9"/>
    <w:basedOn w:val="Normal"/>
    <w:next w:val="Normal"/>
    <w:autoRedefine/>
    <w:uiPriority w:val="39"/>
    <w:semiHidden/>
    <w:pPr>
      <w:spacing w:after="240"/>
      <w:ind w:left="5760" w:right="432"/>
    </w:pPr>
  </w:style>
  <w:style w:type="character" w:customStyle="1" w:styleId="Heading2Char">
    <w:name w:val="Heading 2 Char"/>
    <w:basedOn w:val="DefaultParagraphFont"/>
    <w:link w:val="Heading2"/>
    <w:rPr>
      <w:rFonts w:eastAsiaTheme="majorEastAsia" w:cs="Arial"/>
      <w:bCs/>
      <w:color w:val="000000"/>
      <w:szCs w:val="26"/>
      <w:lang w:val="en-CA"/>
    </w:rPr>
  </w:style>
  <w:style w:type="character" w:customStyle="1" w:styleId="Heading3Char">
    <w:name w:val="Heading 3 Char"/>
    <w:basedOn w:val="DefaultParagraphFont"/>
    <w:link w:val="Heading3"/>
    <w:rPr>
      <w:rFonts w:eastAsiaTheme="majorEastAsia" w:cs="Arial"/>
      <w:bCs/>
      <w:color w:val="000000"/>
      <w:lang w:val="en-CA"/>
    </w:rPr>
  </w:style>
  <w:style w:type="character" w:customStyle="1" w:styleId="Heading4Char">
    <w:name w:val="Heading 4 Char"/>
    <w:basedOn w:val="DefaultParagraphFont"/>
    <w:link w:val="Heading4"/>
    <w:rPr>
      <w:rFonts w:eastAsiaTheme="majorEastAsia" w:cs="Arial"/>
      <w:bCs/>
      <w:iCs/>
      <w:color w:val="000000"/>
      <w:lang w:val="en-CA"/>
    </w:rPr>
  </w:style>
  <w:style w:type="character" w:customStyle="1" w:styleId="Heading5Char">
    <w:name w:val="Heading 5 Char"/>
    <w:basedOn w:val="DefaultParagraphFont"/>
    <w:link w:val="Heading5"/>
    <w:rPr>
      <w:rFonts w:eastAsiaTheme="majorEastAsia" w:cs="Arial"/>
      <w:color w:val="000000"/>
      <w:lang w:val="en-CA"/>
    </w:rPr>
  </w:style>
  <w:style w:type="character" w:customStyle="1" w:styleId="Heading6Char">
    <w:name w:val="Heading 6 Char"/>
    <w:basedOn w:val="DefaultParagraphFont"/>
    <w:link w:val="Heading6"/>
    <w:rPr>
      <w:rFonts w:eastAsiaTheme="majorEastAsia" w:cs="Arial"/>
      <w:iCs/>
      <w:color w:val="000000"/>
      <w:lang w:val="en-CA"/>
    </w:rPr>
  </w:style>
  <w:style w:type="character" w:customStyle="1" w:styleId="Heading7Char">
    <w:name w:val="Heading 7 Char"/>
    <w:basedOn w:val="DefaultParagraphFont"/>
    <w:link w:val="Heading7"/>
    <w:rPr>
      <w:rFonts w:eastAsiaTheme="majorEastAsia" w:cs="Arial"/>
      <w:iCs/>
      <w:color w:val="000000"/>
      <w:lang w:val="en-CA"/>
    </w:rPr>
  </w:style>
  <w:style w:type="character" w:customStyle="1" w:styleId="Heading8Char">
    <w:name w:val="Heading 8 Char"/>
    <w:basedOn w:val="DefaultParagraphFont"/>
    <w:link w:val="Heading8"/>
    <w:rPr>
      <w:rFonts w:eastAsiaTheme="majorEastAsia" w:cs="Arial"/>
      <w:color w:val="000000"/>
      <w:lang w:val="en-CA"/>
    </w:rPr>
  </w:style>
  <w:style w:type="character" w:customStyle="1" w:styleId="Heading9Char">
    <w:name w:val="Heading 9 Char"/>
    <w:basedOn w:val="DefaultParagraphFont"/>
    <w:link w:val="Heading9"/>
    <w:rPr>
      <w:rFonts w:eastAsiaTheme="majorEastAsia" w:cs="Arial"/>
      <w:iCs/>
      <w:color w:val="000000"/>
      <w:lang w:val="en-CA"/>
    </w:rPr>
  </w:style>
  <w:style w:type="paragraph" w:styleId="ListParagraph">
    <w:name w:val="List Paragraph"/>
    <w:basedOn w:val="Normal"/>
    <w:uiPriority w:val="34"/>
    <w:semiHidden/>
    <w:pPr>
      <w:ind w:left="720"/>
      <w:contextualSpacing/>
    </w:pPr>
  </w:style>
  <w:style w:type="paragraph" w:styleId="Subtitle">
    <w:name w:val="Subtitle"/>
    <w:basedOn w:val="Normal"/>
    <w:next w:val="TextLeft"/>
    <w:link w:val="SubtitleChar"/>
    <w:qFormat/>
    <w:pPr>
      <w:keepNext/>
      <w:numPr>
        <w:ilvl w:val="1"/>
      </w:numPr>
      <w:spacing w:after="240"/>
      <w:outlineLvl w:val="1"/>
    </w:pPr>
    <w:rPr>
      <w:rFonts w:eastAsiaTheme="majorEastAsia" w:cstheme="majorBidi"/>
      <w:b/>
      <w:iCs/>
      <w:szCs w:val="24"/>
    </w:rPr>
  </w:style>
  <w:style w:type="character" w:customStyle="1" w:styleId="SubtitleChar">
    <w:name w:val="Subtitle Char"/>
    <w:basedOn w:val="DefaultParagraphFont"/>
    <w:link w:val="Subtitle"/>
    <w:rPr>
      <w:rFonts w:eastAsiaTheme="majorEastAsia" w:cstheme="majorBidi"/>
      <w:b/>
      <w:iCs/>
      <w:szCs w:val="24"/>
      <w:lang w:val="en-CA"/>
    </w:rPr>
  </w:style>
  <w:style w:type="paragraph" w:customStyle="1" w:styleId="Subtitle-AllCaps">
    <w:name w:val="Subtitle - All Caps"/>
    <w:basedOn w:val="Normal"/>
    <w:next w:val="TextLeft"/>
    <w:link w:val="Subtitle-AllCapsChar"/>
    <w:qFormat/>
    <w:pPr>
      <w:keepNext/>
      <w:spacing w:after="240"/>
      <w:outlineLvl w:val="1"/>
    </w:pPr>
    <w:rPr>
      <w:b/>
      <w:caps/>
      <w:u w:val="single"/>
    </w:rPr>
  </w:style>
  <w:style w:type="character" w:customStyle="1" w:styleId="Subtitle-AllCapsChar">
    <w:name w:val="Subtitle - All Caps Char"/>
    <w:basedOn w:val="DefaultParagraphFont"/>
    <w:link w:val="Subtitle-AllCaps"/>
    <w:rPr>
      <w:b/>
      <w:caps/>
      <w:u w:val="single"/>
      <w:lang w:val="en-CA"/>
    </w:rPr>
  </w:style>
  <w:style w:type="paragraph" w:customStyle="1" w:styleId="TextJustified">
    <w:name w:val="Text Justified"/>
    <w:basedOn w:val="Normal"/>
    <w:link w:val="TextJustifiedChar"/>
    <w:qFormat/>
    <w:pPr>
      <w:spacing w:after="240"/>
      <w:jc w:val="both"/>
    </w:pPr>
  </w:style>
  <w:style w:type="character" w:customStyle="1" w:styleId="TextJustifiedChar">
    <w:name w:val="Text Justified Char"/>
    <w:basedOn w:val="DefaultParagraphFont"/>
    <w:link w:val="TextJustified"/>
    <w:rPr>
      <w:lang w:val="en-CA"/>
    </w:rPr>
  </w:style>
  <w:style w:type="paragraph" w:customStyle="1" w:styleId="ScheduleTitle">
    <w:name w:val="Schedule Title"/>
    <w:basedOn w:val="Normal"/>
    <w:next w:val="TextLeft"/>
    <w:link w:val="ScheduleTitleChar"/>
    <w:qFormat/>
    <w:pPr>
      <w:keepNext/>
      <w:spacing w:after="240"/>
      <w:jc w:val="center"/>
    </w:pPr>
    <w:rPr>
      <w:b/>
    </w:rPr>
  </w:style>
  <w:style w:type="character" w:customStyle="1" w:styleId="ScheduleTitleChar">
    <w:name w:val="Schedule Title Char"/>
    <w:basedOn w:val="DefaultParagraphFont"/>
    <w:link w:val="ScheduleTitle"/>
    <w:rPr>
      <w:b/>
      <w:lang w:val="en-CA"/>
    </w:rPr>
  </w:style>
  <w:style w:type="paragraph" w:customStyle="1" w:styleId="SubtitleCentre">
    <w:name w:val="Subtitle Centre"/>
    <w:basedOn w:val="Normal"/>
    <w:next w:val="TextLeft"/>
    <w:link w:val="SubtitleCentreChar"/>
    <w:qFormat/>
    <w:pPr>
      <w:keepNext/>
      <w:keepLines/>
      <w:spacing w:after="240"/>
      <w:jc w:val="center"/>
      <w:outlineLvl w:val="1"/>
    </w:pPr>
    <w:rPr>
      <w:b/>
      <w:u w:val="single"/>
    </w:rPr>
  </w:style>
  <w:style w:type="character" w:customStyle="1" w:styleId="SubtitleCentreChar">
    <w:name w:val="Subtitle Centre Char"/>
    <w:basedOn w:val="DefaultParagraphFont"/>
    <w:link w:val="SubtitleCentre"/>
    <w:rPr>
      <w:b/>
      <w:u w:val="single"/>
      <w:lang w:val="en-CA"/>
    </w:rPr>
  </w:style>
  <w:style w:type="paragraph" w:customStyle="1" w:styleId="SubtitleItalic">
    <w:name w:val="Subtitle Italic"/>
    <w:basedOn w:val="Normal"/>
    <w:next w:val="TextLeft"/>
    <w:link w:val="SubtitleItalicChar"/>
    <w:qFormat/>
    <w:pPr>
      <w:keepNext/>
      <w:keepLines/>
      <w:spacing w:after="240"/>
      <w:outlineLvl w:val="1"/>
    </w:pPr>
    <w:rPr>
      <w:b/>
      <w:i/>
    </w:rPr>
  </w:style>
  <w:style w:type="character" w:customStyle="1" w:styleId="SubtitleItalicChar">
    <w:name w:val="Subtitle Italic Char"/>
    <w:basedOn w:val="DefaultParagraphFont"/>
    <w:link w:val="SubtitleItalic"/>
    <w:rPr>
      <w:b/>
      <w:i/>
      <w:lang w:val="en-CA"/>
    </w:rPr>
  </w:style>
  <w:style w:type="table" w:styleId="TableGrid">
    <w:name w:val="Table Grid"/>
    <w:basedOn w:val="TableNormal"/>
    <w:uiPriority w:val="59"/>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pPr>
      <w:spacing w:before="60" w:after="60"/>
      <w:jc w:val="center"/>
    </w:pPr>
    <w:rPr>
      <w:b/>
    </w:rPr>
  </w:style>
  <w:style w:type="paragraph" w:customStyle="1" w:styleId="TableText">
    <w:name w:val="Table Text"/>
    <w:basedOn w:val="Normal"/>
    <w:qFormat/>
    <w:pPr>
      <w:spacing w:before="60" w:after="60"/>
    </w:pPr>
  </w:style>
  <w:style w:type="paragraph" w:customStyle="1" w:styleId="TextCenter">
    <w:name w:val="Text Center"/>
    <w:basedOn w:val="Normal"/>
    <w:qFormat/>
    <w:pPr>
      <w:spacing w:after="240"/>
      <w:jc w:val="center"/>
    </w:pPr>
  </w:style>
  <w:style w:type="paragraph" w:customStyle="1" w:styleId="TextGap">
    <w:name w:val="Text Gap"/>
    <w:basedOn w:val="Normal"/>
    <w:qFormat/>
    <w:pPr>
      <w:spacing w:after="240"/>
    </w:pPr>
    <w:rPr>
      <w:b/>
      <w:caps/>
      <w:spacing w:val="100"/>
    </w:rPr>
  </w:style>
  <w:style w:type="paragraph" w:customStyle="1" w:styleId="TextLeft">
    <w:name w:val="Text Left"/>
    <w:basedOn w:val="Normal"/>
    <w:link w:val="TextLeftChar"/>
    <w:qFormat/>
    <w:pPr>
      <w:spacing w:after="240"/>
    </w:pPr>
  </w:style>
  <w:style w:type="paragraph" w:styleId="Title">
    <w:name w:val="Title"/>
    <w:basedOn w:val="Normal"/>
    <w:next w:val="TextLeft"/>
    <w:link w:val="TitleChar"/>
    <w:uiPriority w:val="10"/>
    <w:qFormat/>
    <w:pPr>
      <w:keepNext/>
      <w:spacing w:after="360"/>
      <w:jc w:val="center"/>
      <w:outlineLvl w:val="0"/>
    </w:pPr>
    <w:rPr>
      <w:rFonts w:eastAsiaTheme="majorEastAsia" w:cstheme="majorBidi"/>
      <w:b/>
      <w:caps/>
      <w:szCs w:val="52"/>
    </w:rPr>
  </w:style>
  <w:style w:type="character" w:customStyle="1" w:styleId="TitleChar">
    <w:name w:val="Title Char"/>
    <w:basedOn w:val="DefaultParagraphFont"/>
    <w:link w:val="Title"/>
    <w:uiPriority w:val="10"/>
    <w:rPr>
      <w:rFonts w:eastAsiaTheme="majorEastAsia" w:cstheme="majorBidi"/>
      <w:b/>
      <w:caps/>
      <w:szCs w:val="52"/>
      <w:lang w:val="en-CA"/>
    </w:rPr>
  </w:style>
  <w:style w:type="paragraph" w:customStyle="1" w:styleId="Bullet1">
    <w:name w:val="Bullet 1"/>
    <w:basedOn w:val="Normal"/>
    <w:qFormat/>
    <w:pPr>
      <w:numPr>
        <w:numId w:val="1"/>
      </w:numPr>
      <w:spacing w:after="120"/>
    </w:pPr>
  </w:style>
  <w:style w:type="paragraph" w:customStyle="1" w:styleId="Bullet2">
    <w:name w:val="Bullet 2"/>
    <w:basedOn w:val="Normal"/>
    <w:qFormat/>
    <w:pPr>
      <w:numPr>
        <w:ilvl w:val="1"/>
        <w:numId w:val="1"/>
      </w:numPr>
      <w:spacing w:after="240"/>
    </w:pPr>
  </w:style>
  <w:style w:type="paragraph" w:customStyle="1" w:styleId="Bullet3">
    <w:name w:val="Bullet 3"/>
    <w:basedOn w:val="Normal"/>
    <w:qFormat/>
    <w:pPr>
      <w:numPr>
        <w:ilvl w:val="2"/>
        <w:numId w:val="1"/>
      </w:numPr>
      <w:spacing w:after="240"/>
    </w:pPr>
  </w:style>
  <w:style w:type="paragraph" w:customStyle="1" w:styleId="Bullet4">
    <w:name w:val="Bullet 4"/>
    <w:basedOn w:val="Normal"/>
    <w:qFormat/>
    <w:pPr>
      <w:numPr>
        <w:ilvl w:val="3"/>
        <w:numId w:val="1"/>
      </w:numPr>
      <w:spacing w:after="240"/>
    </w:pPr>
  </w:style>
  <w:style w:type="paragraph" w:styleId="BlockText">
    <w:name w:val="Block Text"/>
    <w:basedOn w:val="Normal"/>
    <w:uiPriority w:val="99"/>
    <w:semiHidden/>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rPr>
      <w:rFonts w:eastAsiaTheme="majorEastAsia" w:cstheme="majorBidi"/>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next w:val="Index1"/>
    <w:uiPriority w:val="99"/>
    <w:semiHidden/>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Pr>
      <w:rFonts w:eastAsiaTheme="majorEastAsia" w:cstheme="majorBidi"/>
      <w:sz w:val="24"/>
      <w:szCs w:val="24"/>
      <w:shd w:val="pct20" w:color="auto" w:fill="auto"/>
      <w:lang w:val="en-CA"/>
    </w:rPr>
  </w:style>
  <w:style w:type="paragraph" w:styleId="TOAHeading">
    <w:name w:val="toa heading"/>
    <w:basedOn w:val="Normal"/>
    <w:next w:val="Normal"/>
    <w:uiPriority w:val="99"/>
    <w:semiHidden/>
    <w:pPr>
      <w:spacing w:before="120"/>
    </w:pPr>
    <w:rPr>
      <w:rFonts w:eastAsiaTheme="majorEastAsia" w:cstheme="majorBidi"/>
      <w:b/>
      <w:bCs/>
      <w:szCs w:val="24"/>
    </w:rPr>
  </w:style>
  <w:style w:type="paragraph" w:customStyle="1" w:styleId="TextRight">
    <w:name w:val="Text Right"/>
    <w:basedOn w:val="Normal"/>
    <w:pPr>
      <w:spacing w:after="240"/>
      <w:jc w:val="right"/>
    </w:pPr>
    <w:rPr>
      <w:rFonts w:eastAsia="SimSun" w:cs="Times New Roman"/>
    </w:rPr>
  </w:style>
  <w:style w:type="paragraph" w:customStyle="1" w:styleId="Notes">
    <w:name w:val="Notes"/>
    <w:basedOn w:val="Normal"/>
    <w:pPr>
      <w:spacing w:after="240"/>
    </w:pPr>
    <w:rPr>
      <w:sz w:val="16"/>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Pr>
      <w:lang w:val="en-CA"/>
    </w:rPr>
  </w:style>
  <w:style w:type="paragraph" w:styleId="FootnoteText">
    <w:name w:val="footnote text"/>
    <w:basedOn w:val="Normal"/>
    <w:link w:val="FootnoteTextChar"/>
    <w:uiPriority w:val="99"/>
    <w:semiHidden/>
    <w:unhideWhenUsed/>
    <w:pPr>
      <w:spacing w:after="60" w:line="240" w:lineRule="auto"/>
      <w:ind w:left="360" w:hanging="360"/>
    </w:pPr>
    <w:rPr>
      <w:sz w:val="18"/>
    </w:rPr>
  </w:style>
  <w:style w:type="character" w:customStyle="1" w:styleId="FootnoteTextChar">
    <w:name w:val="Footnote Text Char"/>
    <w:basedOn w:val="DefaultParagraphFont"/>
    <w:link w:val="FootnoteText"/>
    <w:uiPriority w:val="99"/>
    <w:semiHidden/>
    <w:rPr>
      <w:sz w:val="18"/>
      <w:lang w:val="en-CA"/>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CA"/>
    </w:rPr>
  </w:style>
  <w:style w:type="paragraph" w:styleId="Bibliography">
    <w:name w:val="Bibliography"/>
    <w:basedOn w:val="Normal"/>
    <w:next w:val="Normal"/>
    <w:uiPriority w:val="37"/>
    <w:semiHidden/>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rPr>
      <w:lang w:val="en-CA"/>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en-CA"/>
    </w:rPr>
  </w:style>
  <w:style w:type="paragraph" w:styleId="BodyTextFirstIndent">
    <w:name w:val="Body Text First Indent"/>
    <w:basedOn w:val="BodyText"/>
    <w:link w:val="BodyTextFirstIndentChar"/>
    <w:uiPriority w:val="99"/>
    <w:semiHidden/>
    <w:pPr>
      <w:spacing w:after="0"/>
      <w:ind w:firstLine="360"/>
    </w:pPr>
  </w:style>
  <w:style w:type="character" w:customStyle="1" w:styleId="BodyTextFirstIndentChar">
    <w:name w:val="Body Text First Indent Char"/>
    <w:basedOn w:val="BodyTextChar"/>
    <w:link w:val="BodyTextFirstIndent"/>
    <w:uiPriority w:val="99"/>
    <w:semiHidden/>
    <w:rPr>
      <w:lang w:val="en-CA"/>
    </w:r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rPr>
      <w:lang w:val="en-CA"/>
    </w:rPr>
  </w:style>
  <w:style w:type="paragraph" w:styleId="BodyTextFirstIndent2">
    <w:name w:val="Body Text First Indent 2"/>
    <w:basedOn w:val="BodyTextIndent"/>
    <w:link w:val="BodyTextFirstIndent2Char"/>
    <w:uiPriority w:val="99"/>
    <w:semiHidden/>
    <w:pPr>
      <w:spacing w:after="0"/>
      <w:ind w:firstLine="360"/>
    </w:pPr>
  </w:style>
  <w:style w:type="character" w:customStyle="1" w:styleId="BodyTextFirstIndent2Char">
    <w:name w:val="Body Text First Indent 2 Char"/>
    <w:basedOn w:val="BodyTextIndentChar"/>
    <w:link w:val="BodyTextFirstIndent2"/>
    <w:uiPriority w:val="99"/>
    <w:semiHidden/>
    <w:rPr>
      <w:lang w:val="en-CA"/>
    </w:rPr>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rPr>
      <w:lang w:val="en-CA"/>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lang w:val="en-CA"/>
    </w:rPr>
  </w:style>
  <w:style w:type="character" w:styleId="BookTitle">
    <w:name w:val="Book Title"/>
    <w:basedOn w:val="DefaultParagraphFont"/>
    <w:uiPriority w:val="33"/>
    <w:semiHidden/>
    <w:rPr>
      <w:b/>
      <w:bCs/>
      <w:smallCaps/>
      <w:spacing w:val="5"/>
      <w:lang w:val="en-CA"/>
    </w:rPr>
  </w:style>
  <w:style w:type="paragraph" w:styleId="Caption">
    <w:name w:val="caption"/>
    <w:basedOn w:val="Normal"/>
    <w:next w:val="Normal"/>
    <w:uiPriority w:val="35"/>
    <w:semiHidden/>
    <w:qFormat/>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lang w:val="en-CA"/>
    </w:rPr>
  </w:style>
  <w:style w:type="table" w:styleId="ColorfulGrid">
    <w:name w:val="Colorful Grid"/>
    <w:basedOn w:val="TableNormal"/>
    <w:uiPriority w:val="7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Pr>
      <w:sz w:val="16"/>
      <w:szCs w:val="16"/>
      <w:lang w:val="en-CA"/>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rPr>
      <w:lang w:val="en-CA"/>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lang w:val="en-CA"/>
    </w:rPr>
  </w:style>
  <w:style w:type="table" w:styleId="DarkList">
    <w:name w:val="Dark List"/>
    <w:basedOn w:val="TableNormal"/>
    <w:uiPriority w:val="7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rPr>
      <w:lang w:val="en-CA"/>
    </w:rPr>
  </w:style>
  <w:style w:type="paragraph" w:styleId="DocumentMap">
    <w:name w:val="Document Map"/>
    <w:basedOn w:val="Normal"/>
    <w:link w:val="DocumentMapChar"/>
    <w:uiPriority w:val="99"/>
    <w:semiHidden/>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CA"/>
    </w:rPr>
  </w:style>
  <w:style w:type="paragraph" w:styleId="E-mailSignature">
    <w:name w:val="E-mail Signature"/>
    <w:basedOn w:val="Normal"/>
    <w:link w:val="E-mailSignatureChar"/>
    <w:uiPriority w:val="99"/>
    <w:semiHidden/>
    <w:pPr>
      <w:spacing w:line="240" w:lineRule="auto"/>
    </w:pPr>
  </w:style>
  <w:style w:type="character" w:customStyle="1" w:styleId="E-mailSignatureChar">
    <w:name w:val="E-mail Signature Char"/>
    <w:basedOn w:val="DefaultParagraphFont"/>
    <w:link w:val="E-mailSignature"/>
    <w:uiPriority w:val="99"/>
    <w:semiHidden/>
    <w:rPr>
      <w:lang w:val="en-CA"/>
    </w:rPr>
  </w:style>
  <w:style w:type="character" w:styleId="Emphasis">
    <w:name w:val="Emphasis"/>
    <w:basedOn w:val="DefaultParagraphFont"/>
    <w:uiPriority w:val="20"/>
    <w:semiHidden/>
    <w:rPr>
      <w:i/>
      <w:iCs/>
      <w:lang w:val="en-CA"/>
    </w:rPr>
  </w:style>
  <w:style w:type="character" w:styleId="EndnoteReference">
    <w:name w:val="endnote reference"/>
    <w:basedOn w:val="DefaultParagraphFont"/>
    <w:uiPriority w:val="99"/>
    <w:semiHidden/>
    <w:rPr>
      <w:vertAlign w:val="superscript"/>
      <w:lang w:val="en-CA"/>
    </w:rPr>
  </w:style>
  <w:style w:type="paragraph" w:styleId="EndnoteText">
    <w:name w:val="endnote text"/>
    <w:basedOn w:val="Normal"/>
    <w:link w:val="EndnoteTextChar"/>
    <w:uiPriority w:val="99"/>
    <w:semiHidden/>
    <w:pPr>
      <w:spacing w:line="240" w:lineRule="auto"/>
    </w:pPr>
    <w:rPr>
      <w:sz w:val="18"/>
    </w:rPr>
  </w:style>
  <w:style w:type="character" w:customStyle="1" w:styleId="EndnoteTextChar">
    <w:name w:val="Endnote Text Char"/>
    <w:basedOn w:val="DefaultParagraphFont"/>
    <w:link w:val="EndnoteText"/>
    <w:uiPriority w:val="99"/>
    <w:semiHidden/>
    <w:rPr>
      <w:sz w:val="18"/>
      <w:lang w:val="en-CA"/>
    </w:rPr>
  </w:style>
  <w:style w:type="character" w:styleId="FollowedHyperlink">
    <w:name w:val="FollowedHyperlink"/>
    <w:basedOn w:val="DefaultParagraphFont"/>
    <w:uiPriority w:val="99"/>
    <w:semiHidden/>
    <w:rPr>
      <w:color w:val="800080" w:themeColor="followedHyperlink"/>
      <w:u w:val="single"/>
      <w:lang w:val="en-CA"/>
    </w:rPr>
  </w:style>
  <w:style w:type="character" w:styleId="FootnoteReference">
    <w:name w:val="footnote reference"/>
    <w:basedOn w:val="DefaultParagraphFont"/>
    <w:uiPriority w:val="99"/>
    <w:semiHidden/>
    <w:rPr>
      <w:vertAlign w:val="superscript"/>
      <w:lang w:val="en-CA"/>
    </w:rPr>
  </w:style>
  <w:style w:type="character" w:styleId="HTMLAcronym">
    <w:name w:val="HTML Acronym"/>
    <w:basedOn w:val="DefaultParagraphFont"/>
    <w:uiPriority w:val="99"/>
    <w:semiHidden/>
    <w:rPr>
      <w:lang w:val="en-CA"/>
    </w:rPr>
  </w:style>
  <w:style w:type="paragraph" w:styleId="HTMLAddress">
    <w:name w:val="HTML Address"/>
    <w:basedOn w:val="Normal"/>
    <w:link w:val="HTMLAddressChar"/>
    <w:uiPriority w:val="99"/>
    <w:semiHidden/>
    <w:pPr>
      <w:spacing w:line="240" w:lineRule="auto"/>
    </w:pPr>
    <w:rPr>
      <w:i/>
      <w:iCs/>
    </w:rPr>
  </w:style>
  <w:style w:type="character" w:customStyle="1" w:styleId="HTMLAddressChar">
    <w:name w:val="HTML Address Char"/>
    <w:basedOn w:val="DefaultParagraphFont"/>
    <w:link w:val="HTMLAddress"/>
    <w:uiPriority w:val="99"/>
    <w:semiHidden/>
    <w:rPr>
      <w:i/>
      <w:iCs/>
      <w:lang w:val="en-CA"/>
    </w:rPr>
  </w:style>
  <w:style w:type="character" w:styleId="HTMLCite">
    <w:name w:val="HTML Cite"/>
    <w:basedOn w:val="DefaultParagraphFont"/>
    <w:uiPriority w:val="99"/>
    <w:semiHidden/>
    <w:rPr>
      <w:i/>
      <w:iCs/>
      <w:lang w:val="en-CA"/>
    </w:rPr>
  </w:style>
  <w:style w:type="character" w:styleId="HTMLCode">
    <w:name w:val="HTML Code"/>
    <w:basedOn w:val="DefaultParagraphFont"/>
    <w:uiPriority w:val="99"/>
    <w:semiHidden/>
    <w:rPr>
      <w:rFonts w:ascii="Consolas" w:hAnsi="Consolas"/>
      <w:sz w:val="20"/>
      <w:szCs w:val="20"/>
      <w:lang w:val="en-CA"/>
    </w:rPr>
  </w:style>
  <w:style w:type="character" w:styleId="HTMLDefinition">
    <w:name w:val="HTML Definition"/>
    <w:basedOn w:val="DefaultParagraphFont"/>
    <w:uiPriority w:val="99"/>
    <w:semiHidden/>
    <w:rPr>
      <w:i/>
      <w:iCs/>
      <w:lang w:val="en-CA"/>
    </w:rPr>
  </w:style>
  <w:style w:type="character" w:styleId="HTMLKeyboard">
    <w:name w:val="HTML Keyboard"/>
    <w:basedOn w:val="DefaultParagraphFont"/>
    <w:uiPriority w:val="99"/>
    <w:semiHidden/>
    <w:rPr>
      <w:rFonts w:ascii="Consolas" w:hAnsi="Consolas"/>
      <w:sz w:val="20"/>
      <w:szCs w:val="20"/>
      <w:lang w:val="en-CA"/>
    </w:rPr>
  </w:style>
  <w:style w:type="paragraph" w:styleId="HTMLPreformatted">
    <w:name w:val="HTML Preformatted"/>
    <w:basedOn w:val="Normal"/>
    <w:link w:val="HTMLPreformattedChar"/>
    <w:uiPriority w:val="99"/>
    <w:semiHidden/>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Pr>
      <w:rFonts w:ascii="Consolas" w:hAnsi="Consolas"/>
      <w:lang w:val="en-CA"/>
    </w:rPr>
  </w:style>
  <w:style w:type="character" w:styleId="HTMLSample">
    <w:name w:val="HTML Sample"/>
    <w:basedOn w:val="DefaultParagraphFont"/>
    <w:uiPriority w:val="99"/>
    <w:semiHidden/>
    <w:rPr>
      <w:rFonts w:ascii="Consolas" w:hAnsi="Consolas"/>
      <w:sz w:val="24"/>
      <w:szCs w:val="24"/>
      <w:lang w:val="en-CA"/>
    </w:rPr>
  </w:style>
  <w:style w:type="character" w:styleId="HTMLTypewriter">
    <w:name w:val="HTML Typewriter"/>
    <w:basedOn w:val="DefaultParagraphFont"/>
    <w:uiPriority w:val="99"/>
    <w:semiHidden/>
    <w:rPr>
      <w:rFonts w:ascii="Consolas" w:hAnsi="Consolas"/>
      <w:sz w:val="20"/>
      <w:szCs w:val="20"/>
      <w:lang w:val="en-CA"/>
    </w:rPr>
  </w:style>
  <w:style w:type="character" w:styleId="HTMLVariable">
    <w:name w:val="HTML Variable"/>
    <w:basedOn w:val="DefaultParagraphFont"/>
    <w:uiPriority w:val="99"/>
    <w:semiHidden/>
    <w:rPr>
      <w:i/>
      <w:iCs/>
      <w:lang w:val="en-CA"/>
    </w:rPr>
  </w:style>
  <w:style w:type="character" w:styleId="Hyperlink">
    <w:name w:val="Hyperlink"/>
    <w:basedOn w:val="DefaultParagraphFont"/>
    <w:uiPriority w:val="99"/>
    <w:semiHidden/>
    <w:rPr>
      <w:color w:val="0000FF" w:themeColor="hyperlink"/>
      <w:u w:val="single"/>
      <w:lang w:val="en-CA"/>
    </w:rPr>
  </w:style>
  <w:style w:type="paragraph" w:styleId="Index2">
    <w:name w:val="index 2"/>
    <w:basedOn w:val="Normal"/>
    <w:next w:val="Normal"/>
    <w:autoRedefine/>
    <w:uiPriority w:val="99"/>
    <w:semiHidden/>
    <w:pPr>
      <w:spacing w:line="240" w:lineRule="auto"/>
      <w:ind w:left="400" w:hanging="200"/>
    </w:pPr>
  </w:style>
  <w:style w:type="paragraph" w:styleId="Index3">
    <w:name w:val="index 3"/>
    <w:basedOn w:val="Normal"/>
    <w:next w:val="Normal"/>
    <w:autoRedefine/>
    <w:uiPriority w:val="99"/>
    <w:semiHidden/>
    <w:pPr>
      <w:spacing w:line="240" w:lineRule="auto"/>
      <w:ind w:left="600" w:hanging="200"/>
    </w:pPr>
  </w:style>
  <w:style w:type="paragraph" w:styleId="Index4">
    <w:name w:val="index 4"/>
    <w:basedOn w:val="Normal"/>
    <w:next w:val="Normal"/>
    <w:autoRedefine/>
    <w:uiPriority w:val="99"/>
    <w:semiHidden/>
    <w:pPr>
      <w:spacing w:line="240" w:lineRule="auto"/>
      <w:ind w:left="800" w:hanging="200"/>
    </w:pPr>
  </w:style>
  <w:style w:type="paragraph" w:styleId="Index5">
    <w:name w:val="index 5"/>
    <w:basedOn w:val="Normal"/>
    <w:next w:val="Normal"/>
    <w:autoRedefine/>
    <w:uiPriority w:val="99"/>
    <w:semiHidden/>
    <w:pPr>
      <w:spacing w:line="240" w:lineRule="auto"/>
      <w:ind w:left="1000" w:hanging="200"/>
    </w:pPr>
  </w:style>
  <w:style w:type="paragraph" w:styleId="Index6">
    <w:name w:val="index 6"/>
    <w:basedOn w:val="Normal"/>
    <w:next w:val="Normal"/>
    <w:autoRedefine/>
    <w:uiPriority w:val="99"/>
    <w:semiHidden/>
    <w:pPr>
      <w:spacing w:line="240" w:lineRule="auto"/>
      <w:ind w:left="1200" w:hanging="200"/>
    </w:pPr>
  </w:style>
  <w:style w:type="paragraph" w:styleId="Index7">
    <w:name w:val="index 7"/>
    <w:basedOn w:val="Normal"/>
    <w:next w:val="Normal"/>
    <w:autoRedefine/>
    <w:uiPriority w:val="99"/>
    <w:semiHidden/>
    <w:pPr>
      <w:spacing w:line="240" w:lineRule="auto"/>
      <w:ind w:left="1400" w:hanging="200"/>
    </w:pPr>
  </w:style>
  <w:style w:type="paragraph" w:styleId="Index8">
    <w:name w:val="index 8"/>
    <w:basedOn w:val="Normal"/>
    <w:next w:val="Normal"/>
    <w:autoRedefine/>
    <w:uiPriority w:val="99"/>
    <w:semiHidden/>
    <w:pPr>
      <w:spacing w:line="240" w:lineRule="auto"/>
      <w:ind w:left="1600" w:hanging="200"/>
    </w:pPr>
  </w:style>
  <w:style w:type="paragraph" w:styleId="Index9">
    <w:name w:val="index 9"/>
    <w:basedOn w:val="Normal"/>
    <w:next w:val="Normal"/>
    <w:autoRedefine/>
    <w:uiPriority w:val="99"/>
    <w:semiHidden/>
    <w:pPr>
      <w:spacing w:line="240" w:lineRule="auto"/>
      <w:ind w:left="1800" w:hanging="200"/>
    </w:pPr>
  </w:style>
  <w:style w:type="character" w:styleId="IntenseEmphasis">
    <w:name w:val="Intense Emphasis"/>
    <w:basedOn w:val="DefaultParagraphFont"/>
    <w:uiPriority w:val="21"/>
    <w:semiHidden/>
    <w:rPr>
      <w:b/>
      <w:bCs/>
      <w:i/>
      <w:iCs/>
      <w:color w:val="4F81BD" w:themeColor="accent1"/>
      <w:lang w:val="en-CA"/>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lang w:val="en-CA"/>
    </w:rPr>
  </w:style>
  <w:style w:type="character" w:styleId="IntenseReference">
    <w:name w:val="Intense Reference"/>
    <w:basedOn w:val="DefaultParagraphFont"/>
    <w:uiPriority w:val="32"/>
    <w:semiHidden/>
    <w:rPr>
      <w:b/>
      <w:bCs/>
      <w:smallCaps/>
      <w:color w:val="C0504D" w:themeColor="accent2"/>
      <w:spacing w:val="5"/>
      <w:u w:val="single"/>
      <w:lang w:val="en-CA"/>
    </w:rPr>
  </w:style>
  <w:style w:type="table" w:styleId="LightGrid">
    <w:name w:val="Light Grid"/>
    <w:basedOn w:val="TableNormal"/>
    <w:uiPriority w:val="6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Pr>
      <w:lang w:val="en-CA"/>
    </w:rPr>
  </w:style>
  <w:style w:type="paragraph" w:styleId="List">
    <w:name w:val="List"/>
    <w:basedOn w:val="Normal"/>
    <w:uiPriority w:val="99"/>
    <w:semiHidden/>
    <w:pPr>
      <w:ind w:left="360" w:hanging="360"/>
      <w:contextualSpacing/>
    </w:pPr>
  </w:style>
  <w:style w:type="paragraph" w:styleId="List2">
    <w:name w:val="List 2"/>
    <w:basedOn w:val="Normal"/>
    <w:uiPriority w:val="99"/>
    <w:semiHidden/>
    <w:pPr>
      <w:ind w:left="720" w:hanging="360"/>
      <w:contextualSpacing/>
    </w:pPr>
  </w:style>
  <w:style w:type="paragraph" w:styleId="List3">
    <w:name w:val="List 3"/>
    <w:basedOn w:val="Normal"/>
    <w:uiPriority w:val="99"/>
    <w:semiHidden/>
    <w:pPr>
      <w:ind w:left="1080" w:hanging="360"/>
      <w:contextualSpacing/>
    </w:pPr>
  </w:style>
  <w:style w:type="paragraph" w:styleId="List4">
    <w:name w:val="List 4"/>
    <w:basedOn w:val="Normal"/>
    <w:uiPriority w:val="99"/>
    <w:semiHidden/>
    <w:pPr>
      <w:ind w:left="1440" w:hanging="360"/>
      <w:contextualSpacing/>
    </w:pPr>
  </w:style>
  <w:style w:type="paragraph" w:styleId="List5">
    <w:name w:val="List 5"/>
    <w:basedOn w:val="Normal"/>
    <w:uiPriority w:val="99"/>
    <w:semiHidden/>
    <w:pPr>
      <w:ind w:left="1800" w:hanging="360"/>
      <w:contextualSpacing/>
    </w:pPr>
  </w:style>
  <w:style w:type="paragraph" w:styleId="ListBullet">
    <w:name w:val="List Bullet"/>
    <w:basedOn w:val="Normal"/>
    <w:uiPriority w:val="99"/>
    <w:semiHidden/>
    <w:pPr>
      <w:numPr>
        <w:numId w:val="11"/>
      </w:numPr>
      <w:contextualSpacing/>
    </w:pPr>
  </w:style>
  <w:style w:type="paragraph" w:styleId="ListBullet2">
    <w:name w:val="List Bullet 2"/>
    <w:basedOn w:val="Normal"/>
    <w:uiPriority w:val="99"/>
    <w:semiHidden/>
    <w:pPr>
      <w:numPr>
        <w:numId w:val="12"/>
      </w:numPr>
      <w:contextualSpacing/>
    </w:pPr>
  </w:style>
  <w:style w:type="paragraph" w:styleId="ListBullet3">
    <w:name w:val="List Bullet 3"/>
    <w:basedOn w:val="Normal"/>
    <w:uiPriority w:val="99"/>
    <w:semiHidden/>
    <w:pPr>
      <w:numPr>
        <w:numId w:val="13"/>
      </w:numPr>
      <w:contextualSpacing/>
    </w:pPr>
  </w:style>
  <w:style w:type="paragraph" w:styleId="ListBullet4">
    <w:name w:val="List Bullet 4"/>
    <w:basedOn w:val="Normal"/>
    <w:uiPriority w:val="99"/>
    <w:semiHidden/>
    <w:pPr>
      <w:numPr>
        <w:numId w:val="14"/>
      </w:numPr>
      <w:contextualSpacing/>
    </w:pPr>
  </w:style>
  <w:style w:type="paragraph" w:styleId="ListBullet5">
    <w:name w:val="List Bullet 5"/>
    <w:basedOn w:val="Normal"/>
    <w:uiPriority w:val="99"/>
    <w:semiHidden/>
    <w:pPr>
      <w:numPr>
        <w:numId w:val="15"/>
      </w:numPr>
      <w:contextualSpacing/>
    </w:pPr>
  </w:style>
  <w:style w:type="paragraph" w:styleId="ListContinue">
    <w:name w:val="List Continue"/>
    <w:basedOn w:val="Normal"/>
    <w:uiPriority w:val="99"/>
    <w:semiHidden/>
    <w:pPr>
      <w:spacing w:after="120"/>
      <w:ind w:left="360"/>
      <w:contextualSpacing/>
    </w:pPr>
  </w:style>
  <w:style w:type="paragraph" w:styleId="ListContinue2">
    <w:name w:val="List Continue 2"/>
    <w:basedOn w:val="Normal"/>
    <w:uiPriority w:val="99"/>
    <w:semiHidden/>
    <w:pPr>
      <w:spacing w:after="120"/>
      <w:ind w:left="720"/>
      <w:contextualSpacing/>
    </w:pPr>
  </w:style>
  <w:style w:type="paragraph" w:styleId="ListContinue3">
    <w:name w:val="List Continue 3"/>
    <w:basedOn w:val="Normal"/>
    <w:uiPriority w:val="99"/>
    <w:semiHidden/>
    <w:pPr>
      <w:spacing w:after="120"/>
      <w:ind w:left="1080"/>
      <w:contextualSpacing/>
    </w:pPr>
  </w:style>
  <w:style w:type="paragraph" w:styleId="ListContinue4">
    <w:name w:val="List Continue 4"/>
    <w:basedOn w:val="Normal"/>
    <w:uiPriority w:val="99"/>
    <w:semiHidden/>
    <w:pPr>
      <w:spacing w:after="120"/>
      <w:ind w:left="1440"/>
      <w:contextualSpacing/>
    </w:pPr>
  </w:style>
  <w:style w:type="paragraph" w:styleId="ListContinue5">
    <w:name w:val="List Continue 5"/>
    <w:basedOn w:val="Normal"/>
    <w:uiPriority w:val="99"/>
    <w:semiHidden/>
    <w:pPr>
      <w:spacing w:after="120"/>
      <w:ind w:left="1800"/>
      <w:contextualSpacing/>
    </w:pPr>
  </w:style>
  <w:style w:type="paragraph" w:styleId="ListNumber">
    <w:name w:val="List Number"/>
    <w:basedOn w:val="Normal"/>
    <w:uiPriority w:val="99"/>
    <w:semiHidden/>
    <w:pPr>
      <w:numPr>
        <w:numId w:val="16"/>
      </w:numPr>
      <w:contextualSpacing/>
    </w:pPr>
  </w:style>
  <w:style w:type="paragraph" w:styleId="ListNumber2">
    <w:name w:val="List Number 2"/>
    <w:basedOn w:val="Normal"/>
    <w:uiPriority w:val="99"/>
    <w:semiHidden/>
    <w:pPr>
      <w:numPr>
        <w:numId w:val="17"/>
      </w:numPr>
      <w:contextualSpacing/>
    </w:pPr>
  </w:style>
  <w:style w:type="paragraph" w:styleId="ListNumber3">
    <w:name w:val="List Number 3"/>
    <w:basedOn w:val="Normal"/>
    <w:uiPriority w:val="99"/>
    <w:semiHidden/>
    <w:pPr>
      <w:numPr>
        <w:numId w:val="18"/>
      </w:numPr>
      <w:contextualSpacing/>
    </w:pPr>
  </w:style>
  <w:style w:type="paragraph" w:styleId="ListNumber4">
    <w:name w:val="List Number 4"/>
    <w:basedOn w:val="Normal"/>
    <w:uiPriority w:val="99"/>
    <w:semiHidden/>
    <w:pPr>
      <w:numPr>
        <w:numId w:val="19"/>
      </w:numPr>
      <w:contextualSpacing/>
    </w:pPr>
  </w:style>
  <w:style w:type="paragraph" w:styleId="ListNumber5">
    <w:name w:val="List Number 5"/>
    <w:basedOn w:val="Normal"/>
    <w:uiPriority w:val="99"/>
    <w:semiHidden/>
    <w:pPr>
      <w:numPr>
        <w:numId w:val="20"/>
      </w:numPr>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rPr>
  </w:style>
  <w:style w:type="character" w:customStyle="1" w:styleId="MacroTextChar">
    <w:name w:val="Macro Text Char"/>
    <w:basedOn w:val="DefaultParagraphFont"/>
    <w:link w:val="MacroText"/>
    <w:uiPriority w:val="99"/>
    <w:semiHidden/>
    <w:rPr>
      <w:rFonts w:ascii="Consolas" w:hAnsi="Consolas"/>
      <w:lang w:val="en-CA"/>
    </w:rPr>
  </w:style>
  <w:style w:type="table" w:styleId="MediumGrid1">
    <w:name w:val="Medium Grid 1"/>
    <w:basedOn w:val="TableNormal"/>
    <w:uiPriority w:val="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
    <w:name w:val="Medium Grid 3"/>
    <w:basedOn w:val="TableNormal"/>
    <w:uiPriority w:val="6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
    <w:name w:val="Medium Shading 1"/>
    <w:basedOn w:val="TableNormal"/>
    <w:uiPriority w:val="6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pPr>
      <w:spacing w:line="240" w:lineRule="auto"/>
    </w:pPr>
    <w:rPr>
      <w:lang w:val="en-CA"/>
    </w:rPr>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pPr>
      <w:spacing w:line="240" w:lineRule="auto"/>
    </w:pPr>
  </w:style>
  <w:style w:type="character" w:customStyle="1" w:styleId="NoteHeadingChar">
    <w:name w:val="Note Heading Char"/>
    <w:basedOn w:val="DefaultParagraphFont"/>
    <w:link w:val="NoteHeading"/>
    <w:uiPriority w:val="99"/>
    <w:semiHidden/>
    <w:rPr>
      <w:lang w:val="en-CA"/>
    </w:rPr>
  </w:style>
  <w:style w:type="character" w:styleId="PageNumber">
    <w:name w:val="page number"/>
    <w:basedOn w:val="DefaultParagraphFont"/>
    <w:uiPriority w:val="99"/>
    <w:semiHidden/>
    <w:rPr>
      <w:lang w:val="en-CA"/>
    </w:rPr>
  </w:style>
  <w:style w:type="character" w:styleId="PlaceholderText">
    <w:name w:val="Placeholder Text"/>
    <w:basedOn w:val="DefaultParagraphFont"/>
    <w:uiPriority w:val="99"/>
    <w:semiHidden/>
    <w:rPr>
      <w:color w:val="808080"/>
      <w:lang w:val="en-CA"/>
    </w:rPr>
  </w:style>
  <w:style w:type="paragraph" w:styleId="PlainText">
    <w:name w:val="Plain Text"/>
    <w:basedOn w:val="Normal"/>
    <w:link w:val="PlainTextChar"/>
    <w:uiPriority w:val="99"/>
    <w:semiHidden/>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lang w:val="en-CA"/>
    </w:r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semiHidden/>
    <w:rPr>
      <w:i/>
      <w:iCs/>
      <w:color w:val="000000" w:themeColor="text1"/>
      <w:lang w:val="en-CA"/>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rPr>
      <w:lang w:val="en-CA"/>
    </w:rPr>
  </w:style>
  <w:style w:type="character" w:styleId="Strong">
    <w:name w:val="Strong"/>
    <w:basedOn w:val="DefaultParagraphFont"/>
    <w:uiPriority w:val="22"/>
    <w:semiHidden/>
    <w:rPr>
      <w:b/>
      <w:bCs/>
      <w:lang w:val="en-CA"/>
    </w:rPr>
  </w:style>
  <w:style w:type="character" w:styleId="SubtleEmphasis">
    <w:name w:val="Subtle Emphasis"/>
    <w:basedOn w:val="DefaultParagraphFont"/>
    <w:uiPriority w:val="19"/>
    <w:semiHidden/>
    <w:rPr>
      <w:i/>
      <w:iCs/>
      <w:color w:val="808080" w:themeColor="text1" w:themeTint="7F"/>
      <w:lang w:val="en-CA"/>
    </w:rPr>
  </w:style>
  <w:style w:type="character" w:styleId="SubtleReference">
    <w:name w:val="Subtle Reference"/>
    <w:basedOn w:val="DefaultParagraphFont"/>
    <w:uiPriority w:val="31"/>
    <w:semiHidden/>
    <w:rPr>
      <w:smallCaps/>
      <w:color w:val="C0504D" w:themeColor="accent2"/>
      <w:u w:val="single"/>
      <w:lang w:val="en-CA"/>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ara4Char">
    <w:name w:val="Para4 Char"/>
    <w:basedOn w:val="DefaultParagraphFont"/>
    <w:link w:val="Para4"/>
    <w:rPr>
      <w:lang w:val="en-CA"/>
    </w:rPr>
  </w:style>
  <w:style w:type="paragraph" w:customStyle="1" w:styleId="Para5">
    <w:name w:val="Para5"/>
    <w:basedOn w:val="Normal"/>
    <w:link w:val="Para5Char"/>
    <w:pPr>
      <w:spacing w:after="240"/>
      <w:ind w:left="3600"/>
    </w:pPr>
  </w:style>
  <w:style w:type="character" w:customStyle="1" w:styleId="Para5Char">
    <w:name w:val="Para5 Char"/>
    <w:basedOn w:val="DefaultParagraphFont"/>
    <w:link w:val="Para5"/>
    <w:rPr>
      <w:lang w:val="en-CA"/>
    </w:rPr>
  </w:style>
  <w:style w:type="paragraph" w:customStyle="1" w:styleId="Para6">
    <w:name w:val="Para6"/>
    <w:basedOn w:val="Normal"/>
    <w:link w:val="Para6Char"/>
    <w:pPr>
      <w:spacing w:after="240"/>
      <w:ind w:left="4320"/>
    </w:pPr>
  </w:style>
  <w:style w:type="character" w:customStyle="1" w:styleId="Para6Char">
    <w:name w:val="Para6 Char"/>
    <w:basedOn w:val="DefaultParagraphFont"/>
    <w:link w:val="Para6"/>
    <w:rPr>
      <w:lang w:val="en-CA"/>
    </w:rPr>
  </w:style>
  <w:style w:type="paragraph" w:customStyle="1" w:styleId="Para7">
    <w:name w:val="Para7"/>
    <w:basedOn w:val="Normal"/>
    <w:link w:val="Para7Char"/>
    <w:semiHidden/>
    <w:pPr>
      <w:spacing w:after="240"/>
      <w:ind w:left="5040"/>
    </w:pPr>
  </w:style>
  <w:style w:type="character" w:customStyle="1" w:styleId="Para7Char">
    <w:name w:val="Para7 Char"/>
    <w:basedOn w:val="DefaultParagraphFont"/>
    <w:link w:val="Para7"/>
    <w:semiHidden/>
    <w:rPr>
      <w:lang w:val="en-CA"/>
    </w:rPr>
  </w:style>
  <w:style w:type="paragraph" w:customStyle="1" w:styleId="Para8">
    <w:name w:val="Para8"/>
    <w:basedOn w:val="Normal"/>
    <w:link w:val="Para8Char"/>
    <w:semiHidden/>
    <w:pPr>
      <w:spacing w:after="240"/>
      <w:ind w:left="5760"/>
    </w:pPr>
  </w:style>
  <w:style w:type="character" w:customStyle="1" w:styleId="Para8Char">
    <w:name w:val="Para8 Char"/>
    <w:basedOn w:val="DefaultParagraphFont"/>
    <w:link w:val="Para8"/>
    <w:semiHidden/>
    <w:rPr>
      <w:lang w:val="en-CA"/>
    </w:rPr>
  </w:style>
  <w:style w:type="paragraph" w:customStyle="1" w:styleId="Para9">
    <w:name w:val="Para9"/>
    <w:basedOn w:val="Normal"/>
    <w:link w:val="Para9Char"/>
    <w:semiHidden/>
    <w:pPr>
      <w:spacing w:after="240"/>
      <w:ind w:left="6480"/>
    </w:pPr>
  </w:style>
  <w:style w:type="character" w:customStyle="1" w:styleId="Para9Char">
    <w:name w:val="Para9 Char"/>
    <w:basedOn w:val="DefaultParagraphFont"/>
    <w:link w:val="Para9"/>
    <w:semiHidden/>
    <w:rPr>
      <w:lang w:val="en-CA"/>
    </w:rPr>
  </w:style>
  <w:style w:type="numbering" w:customStyle="1" w:styleId="CurrentList1">
    <w:name w:val="Current List1"/>
    <w:uiPriority w:val="99"/>
    <w:pPr>
      <w:numPr>
        <w:numId w:val="41"/>
      </w:numPr>
    </w:pPr>
  </w:style>
  <w:style w:type="numbering" w:customStyle="1" w:styleId="CurrentList2">
    <w:name w:val="Current List2"/>
    <w:uiPriority w:val="99"/>
    <w:pPr>
      <w:numPr>
        <w:numId w:val="42"/>
      </w:numPr>
    </w:pPr>
  </w:style>
  <w:style w:type="character" w:customStyle="1" w:styleId="DocIDChar">
    <w:name w:val="DocID Char"/>
    <w:basedOn w:val="TextJustifiedChar"/>
    <w:link w:val="DocID"/>
    <w:rPr>
      <w:rFonts w:eastAsia="Times New Roman" w:cs="Arial"/>
      <w:sz w:val="16"/>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pPr>
      <w:spacing w:line="240" w:lineRule="auto"/>
    </w:pPr>
    <w:rPr>
      <w:lang w:val="en-CA"/>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TextLeftChar">
    <w:name w:val="Text Left Char"/>
    <w:basedOn w:val="DefaultParagraphFont"/>
    <w:link w:val="TextLeft"/>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98971">
      <w:bodyDiv w:val="1"/>
      <w:marLeft w:val="0"/>
      <w:marRight w:val="0"/>
      <w:marTop w:val="0"/>
      <w:marBottom w:val="0"/>
      <w:divBdr>
        <w:top w:val="none" w:sz="0" w:space="0" w:color="auto"/>
        <w:left w:val="none" w:sz="0" w:space="0" w:color="auto"/>
        <w:bottom w:val="none" w:sz="0" w:space="0" w:color="auto"/>
        <w:right w:val="none" w:sz="0" w:space="0" w:color="auto"/>
      </w:divBdr>
    </w:div>
    <w:div w:id="1689716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victorybatterymetals.com" TargetMode="External"/><Relationship Id="rId2" Type="http://schemas.openxmlformats.org/officeDocument/2006/relationships/numbering" Target="numbering.xml"/><Relationship Id="rId16" Type="http://schemas.openxmlformats.org/officeDocument/2006/relationships/hyperlink" Target="http://www.seda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dar.com"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88977-F368-4E58-8DEF-10A72BF3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4414</Words>
  <Characters>24454</Characters>
  <Application>Microsoft Office Word</Application>
  <DocSecurity>0</DocSecurity>
  <Lines>479</Lines>
  <Paragraphs>240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Dentons, LLP</Company>
  <LinksUpToDate>false</LinksUpToDate>
  <CharactersWithSpaces>28628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Cherniak-Kennedy, Ana</dc:creator>
  <cp:lastModifiedBy>Okunola, Kenny</cp:lastModifiedBy>
  <cp:revision>4</cp:revision>
  <cp:lastPrinted>2023-02-06T22:05:00Z</cp:lastPrinted>
  <dcterms:created xsi:type="dcterms:W3CDTF">2023-02-14T19:12:00Z</dcterms:created>
  <dcterms:modified xsi:type="dcterms:W3CDTF">2023-02-14T22:54:00Z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100352</vt:lpwstr>
  </property>
  <property fmtid="{D5CDD505-2E9C-101B-9397-08002B2CF9AE}" pid="3" name="CUS_DocIDLocation">
    <vt:lpwstr>NO_DOC_ID</vt:lpwstr>
  </property>
  <property fmtid="{D5CDD505-2E9C-101B-9397-08002B2CF9AE}" pid="4" name="CUS_DocIDReference">
    <vt:lpwstr>noDocID</vt:lpwstr>
  </property>
</Properties>
</file>