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FFFF" w14:textId="77777777" w:rsidR="00BE1D40" w:rsidRDefault="00BE1D40" w:rsidP="00A71074">
      <w:pPr>
        <w:pStyle w:val="Heading1"/>
      </w:pPr>
      <w:r>
        <w:t xml:space="preserve">Letter in lieu – </w:t>
      </w:r>
      <w:r w:rsidR="0010659C">
        <w:t>Construction Monitoring</w:t>
      </w:r>
    </w:p>
    <w:p w14:paraId="6D97CC46" w14:textId="77777777" w:rsidR="00BE1D40" w:rsidRDefault="00976AA6" w:rsidP="00A71074">
      <w:pPr>
        <w:pStyle w:val="Heading2"/>
      </w:pPr>
      <w:r>
        <w:rPr>
          <w:noProof/>
        </w:rPr>
        <mc:AlternateContent>
          <mc:Choice Requires="wps">
            <w:drawing>
              <wp:anchor distT="0" distB="0" distL="114300" distR="114300" simplePos="0" relativeHeight="251659264" behindDoc="0" locked="0" layoutInCell="1" allowOverlap="1" wp14:anchorId="54F093DE" wp14:editId="2C659560">
                <wp:simplePos x="0" y="0"/>
                <wp:positionH relativeFrom="column">
                  <wp:posOffset>2540</wp:posOffset>
                </wp:positionH>
                <wp:positionV relativeFrom="paragraph">
                  <wp:posOffset>438590</wp:posOffset>
                </wp:positionV>
                <wp:extent cx="5728335" cy="0"/>
                <wp:effectExtent l="0" t="0" r="12065" b="12700"/>
                <wp:wrapTopAndBottom/>
                <wp:docPr id="2" name="Straight Connector 2"/>
                <wp:cNvGraphicFramePr/>
                <a:graphic xmlns:a="http://schemas.openxmlformats.org/drawingml/2006/main">
                  <a:graphicData uri="http://schemas.microsoft.com/office/word/2010/wordprocessingShape">
                    <wps:wsp>
                      <wps:cNvCnPr/>
                      <wps:spPr>
                        <a:xfrm>
                          <a:off x="0" y="0"/>
                          <a:ext cx="5728335" cy="0"/>
                        </a:xfrm>
                        <a:prstGeom prst="line">
                          <a:avLst/>
                        </a:prstGeom>
                        <a:ln>
                          <a:solidFill>
                            <a:srgbClr val="008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D43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34.55pt" to="451.25pt,3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" strokecolor="#0080ff" strokeweight=".5pt">
                <v:stroke joinstyle="miter"/>
                <w10:wrap type="topAndBottom"/>
              </v:line>
            </w:pict>
          </mc:Fallback>
        </mc:AlternateContent>
      </w:r>
      <w:r w:rsidR="00BE1D40">
        <w:t>This letter template may be used in lieu of a PS</w:t>
      </w:r>
      <w:r w:rsidR="0010659C">
        <w:t>4</w:t>
      </w:r>
      <w:r w:rsidR="00BE1D40">
        <w:t xml:space="preserve"> for clause B2 – Durability.</w:t>
      </w:r>
      <w:r w:rsidR="00A71074">
        <w:t xml:space="preserve"> </w:t>
      </w:r>
      <w:r w:rsidR="00F71470">
        <w:br/>
      </w:r>
      <w:r w:rsidR="00A71074">
        <w:t>Modify with caution.</w:t>
      </w:r>
    </w:p>
    <w:p w14:paraId="73849655" w14:textId="77777777" w:rsidR="0010659C" w:rsidRDefault="00AB6ACF" w:rsidP="0010659C">
      <w:r>
        <w:br/>
      </w:r>
      <w:r w:rsidR="0010659C">
        <w:t xml:space="preserve">Building Project at </w:t>
      </w:r>
      <w:r w:rsidR="0010659C" w:rsidRPr="0010659C">
        <w:rPr>
          <w:rStyle w:val="Placeholder"/>
        </w:rPr>
        <w:t>[Address]</w:t>
      </w:r>
      <w:r w:rsidR="0010659C">
        <w:tab/>
      </w:r>
      <w:r w:rsidR="0010659C">
        <w:tab/>
      </w:r>
      <w:r w:rsidR="0010659C">
        <w:tab/>
        <w:t xml:space="preserve"> DP/Lot number:  </w:t>
      </w:r>
      <w:r w:rsidR="0010659C" w:rsidRPr="0010659C">
        <w:rPr>
          <w:rStyle w:val="Placeholder"/>
        </w:rPr>
        <w:t>[DP/Lot number]</w:t>
      </w:r>
    </w:p>
    <w:p w14:paraId="4088334A" w14:textId="77777777" w:rsidR="0010659C" w:rsidRDefault="0010659C" w:rsidP="0010659C">
      <w:r>
        <w:t xml:space="preserve">Building Consent Number: </w:t>
      </w:r>
      <w:r w:rsidRPr="00976AA6">
        <w:rPr>
          <w:rStyle w:val="Placeholder"/>
        </w:rPr>
        <w:t>[Building Consent Number]</w:t>
      </w:r>
      <w:r>
        <w:t xml:space="preserve">. In respect of </w:t>
      </w:r>
      <w:r w:rsidRPr="0010659C">
        <w:rPr>
          <w:rStyle w:val="Placeholder"/>
        </w:rPr>
        <w:t>[Description of Building Work]</w:t>
      </w:r>
    </w:p>
    <w:p w14:paraId="442473D3" w14:textId="77777777" w:rsidR="0010659C" w:rsidRDefault="0010659C" w:rsidP="0010659C">
      <w:pPr>
        <w:pStyle w:val="Heading3"/>
      </w:pPr>
      <w:r>
        <w:t>Construction Monitoring in relation to Building Code Clause B2 – Durability</w:t>
      </w:r>
    </w:p>
    <w:p w14:paraId="457C4C9B" w14:textId="77777777" w:rsidR="0010659C" w:rsidRDefault="0010659C" w:rsidP="0010659C">
      <w:r>
        <w:t xml:space="preserve">The purpose of this letter is to confirm that direct construction monitoring by </w:t>
      </w:r>
      <w:r w:rsidRPr="008729E0">
        <w:rPr>
          <w:rStyle w:val="Placeholder"/>
        </w:rPr>
        <w:t>[Construction Monitoring Firm]</w:t>
      </w:r>
      <w:r>
        <w:t xml:space="preserve"> in relation to Clause B2 (Durability) of the Building Code, for the above project, has been limited. This is because material protection is typically carried out by specialist applicators and requires specific quality assurance by the suppliers and/or third-party independent inspectors. Subject to all proprietary products meeting their performance specification requirements we can confirm that in relation to specifically designed structural elements included in the design documentation prepared by the </w:t>
      </w:r>
      <w:r w:rsidRPr="0010659C">
        <w:rPr>
          <w:rStyle w:val="Placeholder"/>
        </w:rPr>
        <w:t>[Design Firm]</w:t>
      </w:r>
      <w:r>
        <w:t xml:space="preserve">, the following relates </w:t>
      </w:r>
    </w:p>
    <w:p w14:paraId="4C939FD0" w14:textId="77777777" w:rsidR="0010659C" w:rsidRDefault="0010659C" w:rsidP="0010659C">
      <w:r>
        <w:t>to B2/Durability applicable to the materials listed below:</w:t>
      </w:r>
    </w:p>
    <w:tbl>
      <w:tblPr>
        <w:tblStyle w:val="TableGrid"/>
        <w:tblW w:w="0" w:type="auto"/>
        <w:tblLook w:val="04A0" w:firstRow="1" w:lastRow="0" w:firstColumn="1" w:lastColumn="0" w:noHBand="0" w:noVBand="1"/>
      </w:tblPr>
      <w:tblGrid>
        <w:gridCol w:w="1838"/>
        <w:gridCol w:w="1985"/>
        <w:gridCol w:w="5187"/>
      </w:tblGrid>
      <w:tr w:rsidR="0010659C" w:rsidRPr="0010659C" w14:paraId="138F0149" w14:textId="77777777" w:rsidTr="00976AA6">
        <w:tc>
          <w:tcPr>
            <w:tcW w:w="1838" w:type="dxa"/>
            <w:shd w:val="clear" w:color="auto" w:fill="D9D9D9" w:themeFill="background1" w:themeFillShade="D9"/>
          </w:tcPr>
          <w:p w14:paraId="5666CFAB" w14:textId="77777777" w:rsidR="0010659C" w:rsidRPr="0010659C" w:rsidRDefault="0010659C" w:rsidP="0010659C">
            <w:pPr>
              <w:pStyle w:val="Tablebody"/>
              <w:rPr>
                <w:b/>
                <w:bCs/>
              </w:rPr>
            </w:pPr>
            <w:r w:rsidRPr="0010659C">
              <w:rPr>
                <w:b/>
                <w:bCs/>
              </w:rPr>
              <w:t>Material</w:t>
            </w:r>
          </w:p>
        </w:tc>
        <w:tc>
          <w:tcPr>
            <w:tcW w:w="1985" w:type="dxa"/>
            <w:shd w:val="clear" w:color="auto" w:fill="D9D9D9" w:themeFill="background1" w:themeFillShade="D9"/>
          </w:tcPr>
          <w:p w14:paraId="4139BC8C" w14:textId="77777777" w:rsidR="0010659C" w:rsidRPr="0010659C" w:rsidRDefault="0010659C" w:rsidP="0010659C">
            <w:pPr>
              <w:pStyle w:val="Tablebody"/>
              <w:rPr>
                <w:b/>
                <w:bCs/>
              </w:rPr>
            </w:pPr>
            <w:r w:rsidRPr="0010659C">
              <w:rPr>
                <w:b/>
                <w:bCs/>
              </w:rPr>
              <w:t>Means of Compliance</w:t>
            </w:r>
          </w:p>
        </w:tc>
        <w:tc>
          <w:tcPr>
            <w:tcW w:w="5187" w:type="dxa"/>
            <w:shd w:val="clear" w:color="auto" w:fill="D9D9D9" w:themeFill="background1" w:themeFillShade="D9"/>
          </w:tcPr>
          <w:p w14:paraId="5F031023" w14:textId="77777777" w:rsidR="0010659C" w:rsidRPr="0010659C" w:rsidRDefault="0010659C" w:rsidP="0010659C">
            <w:pPr>
              <w:pStyle w:val="Tablebody"/>
              <w:rPr>
                <w:b/>
                <w:bCs/>
              </w:rPr>
            </w:pPr>
            <w:r w:rsidRPr="0010659C">
              <w:rPr>
                <w:b/>
                <w:bCs/>
              </w:rPr>
              <w:t>Details</w:t>
            </w:r>
          </w:p>
        </w:tc>
      </w:tr>
      <w:tr w:rsidR="0010659C" w:rsidRPr="0010659C" w14:paraId="4BA9CC44" w14:textId="77777777" w:rsidTr="00976AA6">
        <w:tc>
          <w:tcPr>
            <w:tcW w:w="1838" w:type="dxa"/>
          </w:tcPr>
          <w:p w14:paraId="7030F694" w14:textId="77777777" w:rsidR="0010659C" w:rsidRPr="0010659C" w:rsidRDefault="0010659C" w:rsidP="0010659C">
            <w:pPr>
              <w:pStyle w:val="Tablebody"/>
            </w:pPr>
            <w:r w:rsidRPr="0010659C">
              <w:t>Reinforced concrete</w:t>
            </w:r>
          </w:p>
        </w:tc>
        <w:tc>
          <w:tcPr>
            <w:tcW w:w="1985" w:type="dxa"/>
          </w:tcPr>
          <w:p w14:paraId="21707A49" w14:textId="77777777" w:rsidR="0010659C" w:rsidRPr="0010659C" w:rsidRDefault="0010659C" w:rsidP="0010659C">
            <w:pPr>
              <w:pStyle w:val="Tablebody"/>
            </w:pPr>
            <w:r w:rsidRPr="0010659C">
              <w:t>B2/AS1</w:t>
            </w:r>
          </w:p>
        </w:tc>
        <w:tc>
          <w:tcPr>
            <w:tcW w:w="5187" w:type="dxa"/>
          </w:tcPr>
          <w:p w14:paraId="7310195C" w14:textId="77777777" w:rsidR="0010659C" w:rsidRPr="0010659C" w:rsidRDefault="0010659C" w:rsidP="0010659C">
            <w:pPr>
              <w:pStyle w:val="Tablebody"/>
            </w:pPr>
            <w:r w:rsidRPr="0010659C">
              <w:t>Compliance with cover and concrete quality requirements for B1 will also imply compliance with B2. Refer to the PS4 for B1.</w:t>
            </w:r>
          </w:p>
        </w:tc>
      </w:tr>
      <w:tr w:rsidR="0010659C" w:rsidRPr="0010659C" w14:paraId="113FF254" w14:textId="77777777" w:rsidTr="00976AA6">
        <w:tc>
          <w:tcPr>
            <w:tcW w:w="1838" w:type="dxa"/>
          </w:tcPr>
          <w:p w14:paraId="4C0E31A2" w14:textId="77777777" w:rsidR="0010659C" w:rsidRPr="0010659C" w:rsidRDefault="0010659C" w:rsidP="0010659C">
            <w:pPr>
              <w:pStyle w:val="Tablebody"/>
            </w:pPr>
            <w:r w:rsidRPr="0010659C">
              <w:t>Structural timber</w:t>
            </w:r>
          </w:p>
        </w:tc>
        <w:tc>
          <w:tcPr>
            <w:tcW w:w="1985" w:type="dxa"/>
          </w:tcPr>
          <w:p w14:paraId="5792E107" w14:textId="77777777" w:rsidR="0010659C" w:rsidRPr="0010659C" w:rsidRDefault="0010659C" w:rsidP="0010659C">
            <w:pPr>
              <w:pStyle w:val="Tablebody"/>
            </w:pPr>
            <w:r w:rsidRPr="0010659C">
              <w:t>B2/AS1</w:t>
            </w:r>
          </w:p>
        </w:tc>
        <w:tc>
          <w:tcPr>
            <w:tcW w:w="5187" w:type="dxa"/>
          </w:tcPr>
          <w:p w14:paraId="38CFA6D4" w14:textId="77777777" w:rsidR="0010659C" w:rsidRPr="0010659C" w:rsidRDefault="0010659C" w:rsidP="0010659C">
            <w:pPr>
              <w:pStyle w:val="Tablebody"/>
            </w:pPr>
            <w:r w:rsidRPr="0010659C">
              <w:t>The quality of timber treatment is dependent on the QA systems of manufacturers/suppliers. Refer to the contractor’s PS3 and QA records.</w:t>
            </w:r>
          </w:p>
        </w:tc>
      </w:tr>
      <w:tr w:rsidR="0010659C" w:rsidRPr="0010659C" w14:paraId="5060C80B" w14:textId="77777777" w:rsidTr="00976AA6">
        <w:tc>
          <w:tcPr>
            <w:tcW w:w="1838" w:type="dxa"/>
          </w:tcPr>
          <w:p w14:paraId="5D4035CA" w14:textId="77777777" w:rsidR="0010659C" w:rsidRPr="0010659C" w:rsidRDefault="0010659C" w:rsidP="0010659C">
            <w:pPr>
              <w:pStyle w:val="Tablebody"/>
            </w:pPr>
            <w:r w:rsidRPr="0010659C">
              <w:t>Mild steel structure</w:t>
            </w:r>
          </w:p>
        </w:tc>
        <w:tc>
          <w:tcPr>
            <w:tcW w:w="1985" w:type="dxa"/>
          </w:tcPr>
          <w:p w14:paraId="035C65D8" w14:textId="77777777" w:rsidR="0010659C" w:rsidRPr="0010659C" w:rsidRDefault="0010659C" w:rsidP="0010659C">
            <w:pPr>
              <w:pStyle w:val="Tablebody"/>
            </w:pPr>
            <w:r w:rsidRPr="0010659C">
              <w:t>Alternative Solution</w:t>
            </w:r>
          </w:p>
        </w:tc>
        <w:tc>
          <w:tcPr>
            <w:tcW w:w="5187" w:type="dxa"/>
          </w:tcPr>
          <w:p w14:paraId="0ABBD2AF" w14:textId="77777777" w:rsidR="0010659C" w:rsidRDefault="0010659C" w:rsidP="0010659C">
            <w:pPr>
              <w:pStyle w:val="Tablebody"/>
            </w:pPr>
            <w:r w:rsidRPr="0010659C">
              <w:t>The quality of mild steel protective coatings is dependent on:</w:t>
            </w:r>
          </w:p>
          <w:p w14:paraId="628E346D" w14:textId="77777777" w:rsidR="0010659C" w:rsidRDefault="0010659C" w:rsidP="0010659C">
            <w:pPr>
              <w:pStyle w:val="Tablebullets"/>
            </w:pPr>
            <w:r>
              <w:t xml:space="preserve">Steel </w:t>
            </w:r>
            <w:r w:rsidRPr="0010659C">
              <w:t>preparation</w:t>
            </w:r>
          </w:p>
          <w:p w14:paraId="047E23ED" w14:textId="77777777" w:rsidR="0010659C" w:rsidRDefault="0010659C" w:rsidP="0010659C">
            <w:pPr>
              <w:pStyle w:val="Tablebullets"/>
            </w:pPr>
            <w:r>
              <w:t>Quality and production consistency of the coating products</w:t>
            </w:r>
          </w:p>
          <w:p w14:paraId="7634E4E8" w14:textId="77777777" w:rsidR="0010659C" w:rsidRDefault="0010659C" w:rsidP="0010659C">
            <w:pPr>
              <w:pStyle w:val="Tablebullets"/>
            </w:pPr>
            <w:r>
              <w:t>QA of  the application and curing</w:t>
            </w:r>
          </w:p>
          <w:p w14:paraId="663E7FC1" w14:textId="77777777" w:rsidR="0010659C" w:rsidRDefault="0010659C" w:rsidP="0010659C">
            <w:pPr>
              <w:pStyle w:val="Tablebullets"/>
            </w:pPr>
            <w:r>
              <w:t>QA of the handling, protection and repair</w:t>
            </w:r>
          </w:p>
          <w:p w14:paraId="06B8097A" w14:textId="77777777" w:rsidR="0010659C" w:rsidRDefault="0010659C" w:rsidP="0010659C">
            <w:pPr>
              <w:pStyle w:val="Tablebody"/>
            </w:pPr>
            <w:r>
              <w:t>Refer to:</w:t>
            </w:r>
          </w:p>
          <w:p w14:paraId="5D50322F" w14:textId="77777777" w:rsidR="0010659C" w:rsidRDefault="0010659C" w:rsidP="0010659C">
            <w:pPr>
              <w:pStyle w:val="Tablebullets"/>
            </w:pPr>
            <w:r>
              <w:t>Contractor’s and sub-contractor’s PS3s and QA records</w:t>
            </w:r>
          </w:p>
          <w:p w14:paraId="68A21CFF" w14:textId="77777777" w:rsidR="0010659C" w:rsidRDefault="0010659C" w:rsidP="0010659C">
            <w:pPr>
              <w:pStyle w:val="Tablebullets"/>
            </w:pPr>
            <w:r>
              <w:t>Third party inspection and rest results</w:t>
            </w:r>
          </w:p>
          <w:p w14:paraId="2E3F605E" w14:textId="77777777" w:rsidR="0010659C" w:rsidRPr="0010659C" w:rsidRDefault="0010659C" w:rsidP="0010659C">
            <w:pPr>
              <w:pStyle w:val="Tablebullets"/>
            </w:pPr>
            <w:r>
              <w:t>On-going maintenance plan (attached)</w:t>
            </w:r>
          </w:p>
        </w:tc>
      </w:tr>
      <w:tr w:rsidR="0010659C" w:rsidRPr="0010659C" w14:paraId="2A93BA23" w14:textId="77777777" w:rsidTr="00976AA6">
        <w:tc>
          <w:tcPr>
            <w:tcW w:w="1838" w:type="dxa"/>
          </w:tcPr>
          <w:p w14:paraId="2BE73C4B" w14:textId="77777777" w:rsidR="0010659C" w:rsidRPr="0010659C" w:rsidRDefault="0010659C" w:rsidP="0010659C">
            <w:pPr>
              <w:pStyle w:val="Tablebody"/>
            </w:pPr>
            <w:r>
              <w:t>Other</w:t>
            </w:r>
          </w:p>
        </w:tc>
        <w:tc>
          <w:tcPr>
            <w:tcW w:w="1985" w:type="dxa"/>
          </w:tcPr>
          <w:p w14:paraId="6100CB1B" w14:textId="77777777" w:rsidR="0010659C" w:rsidRPr="0010659C" w:rsidRDefault="0010659C" w:rsidP="0010659C">
            <w:pPr>
              <w:pStyle w:val="Tablebody"/>
            </w:pPr>
          </w:p>
        </w:tc>
        <w:tc>
          <w:tcPr>
            <w:tcW w:w="5187" w:type="dxa"/>
          </w:tcPr>
          <w:p w14:paraId="767CBE0C" w14:textId="77777777" w:rsidR="0010659C" w:rsidRPr="0010659C" w:rsidRDefault="0010659C" w:rsidP="00E87A4F"/>
        </w:tc>
      </w:tr>
    </w:tbl>
    <w:p w14:paraId="00589A39" w14:textId="77777777" w:rsidR="0010659C" w:rsidRDefault="0010659C" w:rsidP="0010659C"/>
    <w:p w14:paraId="62213773" w14:textId="77777777" w:rsidR="0010659C" w:rsidRDefault="0010659C" w:rsidP="0010659C">
      <w:r>
        <w:t>Yours faithfully,</w:t>
      </w:r>
      <w:r>
        <w:br/>
      </w:r>
      <w:r w:rsidRPr="0010659C">
        <w:rPr>
          <w:rStyle w:val="Placeholder"/>
        </w:rPr>
        <w:t>[Construction Monitoring Engineer]</w:t>
      </w:r>
    </w:p>
    <w:p w14:paraId="2F592034" w14:textId="77777777" w:rsidR="0010659C" w:rsidRDefault="0010659C" w:rsidP="0010659C">
      <w:r>
        <w:t>For and on behalf of</w:t>
      </w:r>
      <w:r>
        <w:br/>
      </w:r>
      <w:r w:rsidRPr="0010659C">
        <w:rPr>
          <w:rStyle w:val="Placeholder"/>
        </w:rPr>
        <w:t>[Construction Monitoring Firm]</w:t>
      </w:r>
    </w:p>
    <w:p w14:paraId="0935428F" w14:textId="77777777" w:rsidR="0010659C" w:rsidRDefault="0010659C" w:rsidP="0010659C">
      <w:r>
        <w:t>The letter may accompany Engineering New Zealand/ACE New Zealand Producer Statement PS4(B1) – Construction Review in relation to the Building Work.</w:t>
      </w:r>
    </w:p>
    <w:p w14:paraId="5B472F5B" w14:textId="77777777" w:rsidR="00E53608" w:rsidRPr="00FB44F3" w:rsidRDefault="0010659C" w:rsidP="0010659C">
      <w:pPr>
        <w:pStyle w:val="Footer"/>
        <w:rPr>
          <w:rStyle w:val="Placeholder"/>
        </w:rPr>
      </w:pPr>
      <w:r>
        <w:t>Note: This letter shall only be relied on by the Building Consent Authority named in Engineering New Zealand/ACE New Zealand Producer Statement PS4(B1) – Construction Review in relation to the Building Work. Liability under this letter accrues to the Construction Monitoring Firm only. The total maximum amount of damages payable arising from this letter and all other statements provided to the Building Consent Authority in relation to this Building Work whether in contract, tort or otherwise (including negligence), is limited to the sum of $200,000.</w:t>
      </w:r>
    </w:p>
    <w:sectPr w:rsidR="00E53608" w:rsidRPr="00FB44F3" w:rsidSect="00AB6ACF">
      <w:footerReference w:type="default" r:id="rId7"/>
      <w:pgSz w:w="11900" w:h="16840"/>
      <w:pgMar w:top="1247" w:right="1440" w:bottom="1247"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6266D" w14:textId="77777777" w:rsidR="00B60B4A" w:rsidRDefault="00B60B4A" w:rsidP="00112C88">
      <w:pPr>
        <w:spacing w:after="0" w:line="240" w:lineRule="auto"/>
      </w:pPr>
      <w:r>
        <w:separator/>
      </w:r>
    </w:p>
  </w:endnote>
  <w:endnote w:type="continuationSeparator" w:id="0">
    <w:p w14:paraId="35066F89" w14:textId="77777777" w:rsidR="00B60B4A" w:rsidRDefault="00B60B4A" w:rsidP="0011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0A8A" w14:textId="77777777" w:rsidR="00112C88" w:rsidRPr="0010659C" w:rsidRDefault="0010659C">
    <w:pPr>
      <w:pStyle w:val="Footer"/>
      <w:rPr>
        <w:lang w:val="mi-NZ"/>
      </w:rPr>
    </w:pPr>
    <w:r>
      <w:rPr>
        <w:lang w:val="mi-NZ"/>
      </w:rPr>
      <w:t>Letter in lieu – Construction Monitoring</w:t>
    </w:r>
    <w:r>
      <w:rPr>
        <w:lang w:val="mi-NZ"/>
      </w:rPr>
      <w:tab/>
    </w:r>
    <w:r>
      <w:rPr>
        <w:lang w:val="mi-NZ"/>
      </w:rPr>
      <w:tab/>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8689" w14:textId="77777777" w:rsidR="00B60B4A" w:rsidRDefault="00B60B4A" w:rsidP="00112C88">
      <w:pPr>
        <w:spacing w:after="0" w:line="240" w:lineRule="auto"/>
      </w:pPr>
      <w:r>
        <w:separator/>
      </w:r>
    </w:p>
  </w:footnote>
  <w:footnote w:type="continuationSeparator" w:id="0">
    <w:p w14:paraId="519BBD32" w14:textId="77777777" w:rsidR="00B60B4A" w:rsidRDefault="00B60B4A" w:rsidP="00112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0642A"/>
    <w:multiLevelType w:val="multilevel"/>
    <w:tmpl w:val="0414E2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557169F"/>
    <w:multiLevelType w:val="hybridMultilevel"/>
    <w:tmpl w:val="F53EDEFA"/>
    <w:lvl w:ilvl="0" w:tplc="B4F0094C">
      <w:start w:val="1"/>
      <w:numFmt w:val="bullet"/>
      <w:pStyle w:val="Tablebullets"/>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94"/>
    <w:rsid w:val="00072B54"/>
    <w:rsid w:val="0010659C"/>
    <w:rsid w:val="00112C88"/>
    <w:rsid w:val="001D1D94"/>
    <w:rsid w:val="00221292"/>
    <w:rsid w:val="005D239A"/>
    <w:rsid w:val="00682E7A"/>
    <w:rsid w:val="008729E0"/>
    <w:rsid w:val="00976AA6"/>
    <w:rsid w:val="00A71074"/>
    <w:rsid w:val="00AB6ACF"/>
    <w:rsid w:val="00B60B4A"/>
    <w:rsid w:val="00BB431F"/>
    <w:rsid w:val="00BE1D40"/>
    <w:rsid w:val="00C206E0"/>
    <w:rsid w:val="00C55320"/>
    <w:rsid w:val="00D21108"/>
    <w:rsid w:val="00D45307"/>
    <w:rsid w:val="00DE0D48"/>
    <w:rsid w:val="00F71470"/>
    <w:rsid w:val="00F72C4C"/>
    <w:rsid w:val="00FA0115"/>
    <w:rsid w:val="00FB44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39DF"/>
  <w15:chartTrackingRefBased/>
  <w15:docId w15:val="{96F9629C-D01D-0847-9E09-34A38C6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40"/>
    <w:pPr>
      <w:spacing w:after="160" w:line="280" w:lineRule="exact"/>
    </w:pPr>
    <w:rPr>
      <w:sz w:val="22"/>
    </w:rPr>
  </w:style>
  <w:style w:type="paragraph" w:styleId="Heading1">
    <w:name w:val="heading 1"/>
    <w:basedOn w:val="Normal"/>
    <w:next w:val="Normal"/>
    <w:link w:val="Heading1Char"/>
    <w:uiPriority w:val="9"/>
    <w:qFormat/>
    <w:rsid w:val="00A71074"/>
    <w:pPr>
      <w:keepNext/>
      <w:keepLines/>
      <w:spacing w:before="160" w:after="80" w:line="320" w:lineRule="exact"/>
      <w:outlineLvl w:val="0"/>
    </w:pPr>
    <w:rPr>
      <w:rFonts w:ascii="Arial" w:eastAsiaTheme="majorEastAsia" w:hAnsi="Arial" w:cstheme="majorBidi"/>
      <w:b/>
      <w:color w:val="0080FF"/>
      <w:sz w:val="32"/>
      <w:szCs w:val="32"/>
    </w:rPr>
  </w:style>
  <w:style w:type="paragraph" w:styleId="Heading2">
    <w:name w:val="heading 2"/>
    <w:aliases w:val="Intro"/>
    <w:basedOn w:val="Normal"/>
    <w:next w:val="Normal"/>
    <w:link w:val="Heading2Char"/>
    <w:uiPriority w:val="9"/>
    <w:unhideWhenUsed/>
    <w:qFormat/>
    <w:rsid w:val="00221292"/>
    <w:pPr>
      <w:keepNext/>
      <w:keepLines/>
      <w:spacing w:after="120"/>
      <w:outlineLvl w:val="1"/>
    </w:pPr>
    <w:rPr>
      <w:rFonts w:ascii="Arial" w:eastAsiaTheme="majorEastAsia" w:hAnsi="Arial" w:cstheme="majorBidi"/>
      <w:color w:val="000000" w:themeColor="text1"/>
      <w:sz w:val="24"/>
      <w:szCs w:val="26"/>
    </w:rPr>
  </w:style>
  <w:style w:type="paragraph" w:styleId="Heading3">
    <w:name w:val="heading 3"/>
    <w:basedOn w:val="Normal"/>
    <w:next w:val="Normal"/>
    <w:link w:val="Heading3Char"/>
    <w:uiPriority w:val="9"/>
    <w:unhideWhenUsed/>
    <w:qFormat/>
    <w:rsid w:val="00A71074"/>
    <w:pPr>
      <w:keepNext/>
      <w:keepLines/>
      <w:spacing w:before="160" w:after="80"/>
      <w:outlineLvl w:val="2"/>
    </w:pPr>
    <w:rPr>
      <w:rFonts w:ascii="Calibri" w:eastAsiaTheme="majorEastAsia" w:hAnsi="Calibr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1074"/>
    <w:rPr>
      <w:rFonts w:ascii="Arial" w:eastAsiaTheme="majorEastAsia" w:hAnsi="Arial" w:cstheme="majorBidi"/>
      <w:b/>
      <w:color w:val="0080FF"/>
      <w:sz w:val="32"/>
      <w:szCs w:val="32"/>
    </w:rPr>
  </w:style>
  <w:style w:type="table" w:styleId="PlainTable1">
    <w:name w:val="Plain Table 1"/>
    <w:basedOn w:val="TableNormal"/>
    <w:uiPriority w:val="41"/>
    <w:rsid w:val="00BE1D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aliases w:val="Intro Char"/>
    <w:basedOn w:val="DefaultParagraphFont"/>
    <w:link w:val="Heading2"/>
    <w:uiPriority w:val="9"/>
    <w:rsid w:val="00221292"/>
    <w:rPr>
      <w:rFonts w:ascii="Arial" w:eastAsiaTheme="majorEastAsia" w:hAnsi="Arial" w:cstheme="majorBidi"/>
      <w:color w:val="000000" w:themeColor="text1"/>
      <w:szCs w:val="26"/>
    </w:rPr>
  </w:style>
  <w:style w:type="character" w:customStyle="1" w:styleId="Heading3Char">
    <w:name w:val="Heading 3 Char"/>
    <w:basedOn w:val="DefaultParagraphFont"/>
    <w:link w:val="Heading3"/>
    <w:uiPriority w:val="9"/>
    <w:rsid w:val="00A71074"/>
    <w:rPr>
      <w:rFonts w:ascii="Calibri" w:eastAsiaTheme="majorEastAsia" w:hAnsi="Calibri" w:cstheme="majorBidi"/>
      <w:b/>
      <w:color w:val="000000" w:themeColor="text1"/>
    </w:rPr>
  </w:style>
  <w:style w:type="character" w:customStyle="1" w:styleId="Placeholder">
    <w:name w:val="Placeholder"/>
    <w:basedOn w:val="DefaultParagraphFont"/>
    <w:uiPriority w:val="1"/>
    <w:qFormat/>
    <w:rsid w:val="00FB44F3"/>
    <w:rPr>
      <w:b/>
      <w:i/>
    </w:rPr>
  </w:style>
  <w:style w:type="paragraph" w:styleId="Header">
    <w:name w:val="header"/>
    <w:basedOn w:val="Normal"/>
    <w:link w:val="HeaderChar"/>
    <w:uiPriority w:val="99"/>
    <w:unhideWhenUsed/>
    <w:rsid w:val="0011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C88"/>
    <w:rPr>
      <w:sz w:val="22"/>
    </w:rPr>
  </w:style>
  <w:style w:type="paragraph" w:styleId="Footer">
    <w:name w:val="footer"/>
    <w:basedOn w:val="Normal"/>
    <w:link w:val="FooterChar"/>
    <w:uiPriority w:val="99"/>
    <w:unhideWhenUsed/>
    <w:rsid w:val="00112C88"/>
    <w:pPr>
      <w:tabs>
        <w:tab w:val="center" w:pos="4680"/>
        <w:tab w:val="right" w:pos="9360"/>
      </w:tabs>
      <w:spacing w:after="0" w:line="200" w:lineRule="exact"/>
    </w:pPr>
    <w:rPr>
      <w:sz w:val="18"/>
    </w:rPr>
  </w:style>
  <w:style w:type="character" w:customStyle="1" w:styleId="FooterChar">
    <w:name w:val="Footer Char"/>
    <w:basedOn w:val="DefaultParagraphFont"/>
    <w:link w:val="Footer"/>
    <w:uiPriority w:val="99"/>
    <w:rsid w:val="00112C88"/>
    <w:rPr>
      <w:sz w:val="18"/>
    </w:rPr>
  </w:style>
  <w:style w:type="paragraph" w:customStyle="1" w:styleId="Bullets-templateTemplatestyles">
    <w:name w:val="Bullets - template (Template styles)"/>
    <w:basedOn w:val="Normal"/>
    <w:uiPriority w:val="99"/>
    <w:rsid w:val="0010659C"/>
    <w:pPr>
      <w:tabs>
        <w:tab w:val="left" w:pos="280"/>
        <w:tab w:val="left" w:pos="860"/>
      </w:tabs>
      <w:suppressAutoHyphens/>
      <w:autoSpaceDE w:val="0"/>
      <w:autoSpaceDN w:val="0"/>
      <w:adjustRightInd w:val="0"/>
      <w:spacing w:after="57" w:line="240" w:lineRule="atLeast"/>
      <w:ind w:left="227" w:hanging="227"/>
      <w:textAlignment w:val="center"/>
    </w:pPr>
    <w:rPr>
      <w:rFonts w:ascii="Calibri" w:hAnsi="Calibri" w:cs="Calibri"/>
      <w:color w:val="000000"/>
      <w:sz w:val="20"/>
      <w:szCs w:val="20"/>
      <w:lang w:val="en-US"/>
    </w:rPr>
  </w:style>
  <w:style w:type="paragraph" w:customStyle="1" w:styleId="BodybeforebulletstemplateTemplatestyles">
    <w:name w:val="Body before bullets template (Template styles)"/>
    <w:basedOn w:val="Normal"/>
    <w:uiPriority w:val="99"/>
    <w:rsid w:val="0010659C"/>
    <w:pPr>
      <w:tabs>
        <w:tab w:val="left" w:pos="280"/>
        <w:tab w:val="left" w:pos="860"/>
      </w:tabs>
      <w:suppressAutoHyphens/>
      <w:autoSpaceDE w:val="0"/>
      <w:autoSpaceDN w:val="0"/>
      <w:adjustRightInd w:val="0"/>
      <w:spacing w:after="57" w:line="240" w:lineRule="atLeast"/>
      <w:textAlignment w:val="center"/>
    </w:pPr>
    <w:rPr>
      <w:rFonts w:ascii="Calibri" w:hAnsi="Calibri" w:cs="Calibri"/>
      <w:color w:val="000000"/>
      <w:sz w:val="20"/>
      <w:szCs w:val="20"/>
      <w:lang w:val="en-US"/>
    </w:rPr>
  </w:style>
  <w:style w:type="paragraph" w:customStyle="1" w:styleId="Tablebody">
    <w:name w:val="Table body"/>
    <w:basedOn w:val="Normal"/>
    <w:qFormat/>
    <w:rsid w:val="00976AA6"/>
    <w:pPr>
      <w:spacing w:before="120" w:after="0" w:line="230" w:lineRule="exact"/>
    </w:pPr>
    <w:rPr>
      <w:sz w:val="19"/>
    </w:rPr>
  </w:style>
  <w:style w:type="paragraph" w:styleId="ListParagraph">
    <w:name w:val="List Paragraph"/>
    <w:basedOn w:val="Normal"/>
    <w:uiPriority w:val="34"/>
    <w:qFormat/>
    <w:rsid w:val="0010659C"/>
    <w:pPr>
      <w:ind w:left="720"/>
      <w:contextualSpacing/>
    </w:pPr>
  </w:style>
  <w:style w:type="paragraph" w:customStyle="1" w:styleId="Tablebullets">
    <w:name w:val="Table bullets"/>
    <w:basedOn w:val="Tablebody"/>
    <w:qFormat/>
    <w:rsid w:val="00976AA6"/>
    <w:pPr>
      <w:numPr>
        <w:numId w:val="1"/>
      </w:numPr>
      <w:spacing w:before="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80/ssh2_9mj4ndd0ss4f5wvgyvr0000gp/T/com.microsoft.Outlook/Outlook%20Temp/TEMPLATE-Letter_in_Lieu_ConstructionMonitoring%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TEMPLATE-Letter_in_Lieu_ConstructionMonitoring[1].dotx</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Eloise Angus</cp:lastModifiedBy>
  <cp:revision>1</cp:revision>
  <dcterms:created xsi:type="dcterms:W3CDTF">2020-10-14T06:51:00Z</dcterms:created>
  <dcterms:modified xsi:type="dcterms:W3CDTF">2020-10-14T06:52:00Z</dcterms:modified>
</cp:coreProperties>
</file>