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5F" w:rsidRPr="00736D07" w:rsidRDefault="008719D4" w:rsidP="00D85339">
      <w:pPr>
        <w:rPr>
          <w:sz w:val="26"/>
          <w:szCs w:val="26"/>
        </w:rPr>
      </w:pPr>
      <w:r w:rsidRPr="00736D07">
        <w:rPr>
          <w:sz w:val="26"/>
          <w:szCs w:val="26"/>
        </w:rPr>
        <w:t>In</w:t>
      </w:r>
      <w:r w:rsidR="00B96748" w:rsidRPr="00736D07">
        <w:rPr>
          <w:sz w:val="26"/>
          <w:szCs w:val="26"/>
        </w:rPr>
        <w:t xml:space="preserve"> the 1800s</w:t>
      </w:r>
      <w:r w:rsidRPr="00736D07">
        <w:rPr>
          <w:sz w:val="26"/>
          <w:szCs w:val="26"/>
        </w:rPr>
        <w:t xml:space="preserve">, people </w:t>
      </w:r>
      <w:r w:rsidR="00F348C5" w:rsidRPr="00736D07">
        <w:rPr>
          <w:sz w:val="26"/>
          <w:szCs w:val="26"/>
        </w:rPr>
        <w:t>managed</w:t>
      </w:r>
      <w:r w:rsidRPr="00736D07">
        <w:rPr>
          <w:sz w:val="26"/>
          <w:szCs w:val="26"/>
        </w:rPr>
        <w:t xml:space="preserve"> sewage</w:t>
      </w:r>
      <w:r w:rsidR="001409A7">
        <w:rPr>
          <w:sz w:val="26"/>
          <w:szCs w:val="26"/>
        </w:rPr>
        <w:t xml:space="preserve"> outflows </w:t>
      </w:r>
      <w:r w:rsidR="00F23360">
        <w:rPr>
          <w:sz w:val="26"/>
          <w:szCs w:val="26"/>
        </w:rPr>
        <w:t xml:space="preserve">by </w:t>
      </w:r>
      <w:r w:rsidR="00F23360" w:rsidRPr="00736D07">
        <w:rPr>
          <w:sz w:val="26"/>
          <w:szCs w:val="26"/>
        </w:rPr>
        <w:t>dumping</w:t>
      </w:r>
      <w:r w:rsidRPr="00736D07">
        <w:rPr>
          <w:sz w:val="26"/>
          <w:szCs w:val="26"/>
        </w:rPr>
        <w:t xml:space="preserve"> in the</w:t>
      </w:r>
      <w:r w:rsidR="00B96748" w:rsidRPr="00736D07">
        <w:rPr>
          <w:sz w:val="26"/>
          <w:szCs w:val="26"/>
        </w:rPr>
        <w:t xml:space="preserve"> nearest creek </w:t>
      </w:r>
      <w:r w:rsidR="00F23360">
        <w:rPr>
          <w:sz w:val="26"/>
          <w:szCs w:val="26"/>
        </w:rPr>
        <w:t>to</w:t>
      </w:r>
      <w:r w:rsidR="004F3F5F" w:rsidRPr="00736D07">
        <w:rPr>
          <w:sz w:val="26"/>
          <w:szCs w:val="26"/>
        </w:rPr>
        <w:t xml:space="preserve"> be carried away</w:t>
      </w:r>
      <w:r w:rsidR="001409A7" w:rsidRPr="001409A7">
        <w:rPr>
          <w:sz w:val="26"/>
          <w:szCs w:val="26"/>
        </w:rPr>
        <w:t xml:space="preserve"> </w:t>
      </w:r>
      <w:r w:rsidR="001409A7" w:rsidRPr="00736D07">
        <w:rPr>
          <w:sz w:val="26"/>
          <w:szCs w:val="26"/>
        </w:rPr>
        <w:t>from their populations</w:t>
      </w:r>
      <w:r w:rsidR="001409A7">
        <w:rPr>
          <w:sz w:val="26"/>
          <w:szCs w:val="26"/>
        </w:rPr>
        <w:t xml:space="preserve">. </w:t>
      </w:r>
      <w:r w:rsidR="00B96748" w:rsidRPr="00736D07">
        <w:rPr>
          <w:sz w:val="26"/>
          <w:szCs w:val="26"/>
        </w:rPr>
        <w:t xml:space="preserve">People were getting cholera and </w:t>
      </w:r>
      <w:r w:rsidR="001409A7">
        <w:rPr>
          <w:sz w:val="26"/>
          <w:szCs w:val="26"/>
        </w:rPr>
        <w:t>didn’t connect</w:t>
      </w:r>
      <w:r w:rsidR="00B96748" w:rsidRPr="00736D07">
        <w:rPr>
          <w:sz w:val="26"/>
          <w:szCs w:val="26"/>
        </w:rPr>
        <w:t xml:space="preserve"> that it was because </w:t>
      </w:r>
      <w:r w:rsidR="00BB3633" w:rsidRPr="00736D07">
        <w:rPr>
          <w:sz w:val="26"/>
          <w:szCs w:val="26"/>
        </w:rPr>
        <w:t xml:space="preserve">sewage was in drinking water. </w:t>
      </w:r>
    </w:p>
    <w:p w:rsidR="00D85339" w:rsidRPr="00736D07" w:rsidRDefault="001409A7" w:rsidP="00D85339">
      <w:pPr>
        <w:rPr>
          <w:sz w:val="26"/>
          <w:szCs w:val="26"/>
        </w:rPr>
      </w:pPr>
      <w:r w:rsidRPr="00736D0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1691148" wp14:editId="36C8B3A0">
            <wp:simplePos x="0" y="0"/>
            <wp:positionH relativeFrom="margin">
              <wp:posOffset>-15875</wp:posOffset>
            </wp:positionH>
            <wp:positionV relativeFrom="margin">
              <wp:posOffset>1599565</wp:posOffset>
            </wp:positionV>
            <wp:extent cx="2839085" cy="1686560"/>
            <wp:effectExtent l="0" t="0" r="0" b="8890"/>
            <wp:wrapSquare wrapText="bothSides"/>
            <wp:docPr id="1" name="Picture 1" descr="F:\CUFA\People and Planet First\SBU program and pics\Sewer overflow pictures\CSO_5_Outfall_Sign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UFA\People and Planet First\SBU program and pics\Sewer overflow pictures\CSO_5_Outfall_Sign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5" t="9565" r="-406"/>
                    <a:stretch/>
                  </pic:blipFill>
                  <pic:spPr bwMode="auto">
                    <a:xfrm>
                      <a:off x="0" y="0"/>
                      <a:ext cx="283908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D07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7E1B004C" wp14:editId="6CE75306">
            <wp:simplePos x="0" y="0"/>
            <wp:positionH relativeFrom="margin">
              <wp:posOffset>3124200</wp:posOffset>
            </wp:positionH>
            <wp:positionV relativeFrom="margin">
              <wp:posOffset>4185285</wp:posOffset>
            </wp:positionV>
            <wp:extent cx="2739390" cy="2096770"/>
            <wp:effectExtent l="0" t="0" r="3810" b="0"/>
            <wp:wrapSquare wrapText="bothSides"/>
            <wp:docPr id="4" name="Picture 4" descr="F:\CUFA\People and Planet First\SBU program and pics\sewer clipart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UFA\People and Planet First\SBU program and pics\sewer clipart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9D4" w:rsidRPr="00736D07">
        <w:rPr>
          <w:sz w:val="26"/>
          <w:szCs w:val="26"/>
        </w:rPr>
        <w:t>Our sewer system</w:t>
      </w:r>
      <w:r w:rsidR="007624A7" w:rsidRPr="00736D07">
        <w:rPr>
          <w:sz w:val="26"/>
          <w:szCs w:val="26"/>
        </w:rPr>
        <w:t xml:space="preserve"> in Hamilton County is</w:t>
      </w:r>
      <w:r w:rsidR="008719D4" w:rsidRPr="00736D07">
        <w:rPr>
          <w:sz w:val="26"/>
          <w:szCs w:val="26"/>
        </w:rPr>
        <w:t xml:space="preserve"> </w:t>
      </w:r>
      <w:r w:rsidR="008719D4" w:rsidRPr="00736D07">
        <w:rPr>
          <w:b/>
          <w:sz w:val="26"/>
          <w:szCs w:val="26"/>
        </w:rPr>
        <w:t>combined</w:t>
      </w:r>
      <w:r w:rsidR="008719D4" w:rsidRPr="00736D07">
        <w:rPr>
          <w:sz w:val="26"/>
          <w:szCs w:val="26"/>
        </w:rPr>
        <w:t xml:space="preserve"> – meaning that </w:t>
      </w:r>
      <w:r w:rsidR="004F3F5F" w:rsidRPr="00736D07">
        <w:rPr>
          <w:sz w:val="26"/>
          <w:szCs w:val="26"/>
        </w:rPr>
        <w:t xml:space="preserve">both </w:t>
      </w:r>
      <w:r w:rsidR="008719D4" w:rsidRPr="00736D07">
        <w:rPr>
          <w:sz w:val="26"/>
          <w:szCs w:val="26"/>
        </w:rPr>
        <w:t xml:space="preserve">sewage and storm water </w:t>
      </w:r>
      <w:r w:rsidR="004F3F5F" w:rsidRPr="00736D07">
        <w:rPr>
          <w:sz w:val="26"/>
          <w:szCs w:val="26"/>
        </w:rPr>
        <w:t>goes</w:t>
      </w:r>
      <w:r w:rsidR="008719D4" w:rsidRPr="00736D07">
        <w:rPr>
          <w:sz w:val="26"/>
          <w:szCs w:val="26"/>
        </w:rPr>
        <w:t xml:space="preserve"> into the same pipes. Cities build</w:t>
      </w:r>
      <w:r w:rsidR="00D85339" w:rsidRPr="00736D07">
        <w:rPr>
          <w:sz w:val="26"/>
          <w:szCs w:val="26"/>
        </w:rPr>
        <w:t xml:space="preserve"> streets to drain into sewers, and </w:t>
      </w:r>
      <w:r w:rsidR="008719D4" w:rsidRPr="00736D07">
        <w:rPr>
          <w:sz w:val="26"/>
          <w:szCs w:val="26"/>
        </w:rPr>
        <w:t>industrial polluters are sometimes allowed to use the sewers for their liquid waste</w:t>
      </w:r>
      <w:r w:rsidR="00D85339" w:rsidRPr="00736D07"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8719D4" w:rsidRPr="00736D07">
        <w:rPr>
          <w:sz w:val="26"/>
          <w:szCs w:val="26"/>
        </w:rPr>
        <w:t>As urban and suburban sprawl occurred</w:t>
      </w:r>
      <w:r w:rsidR="00F348C5" w:rsidRPr="00736D07">
        <w:rPr>
          <w:sz w:val="26"/>
          <w:szCs w:val="26"/>
        </w:rPr>
        <w:t xml:space="preserve"> in Hamilton County</w:t>
      </w:r>
      <w:r w:rsidR="008719D4" w:rsidRPr="00736D07">
        <w:rPr>
          <w:sz w:val="26"/>
          <w:szCs w:val="26"/>
        </w:rPr>
        <w:t xml:space="preserve">, </w:t>
      </w:r>
      <w:r w:rsidR="007624A7" w:rsidRPr="00736D07">
        <w:rPr>
          <w:sz w:val="26"/>
          <w:szCs w:val="26"/>
        </w:rPr>
        <w:t xml:space="preserve">the </w:t>
      </w:r>
      <w:r w:rsidR="007624A7" w:rsidRPr="00736D07">
        <w:rPr>
          <w:b/>
          <w:sz w:val="26"/>
          <w:szCs w:val="26"/>
        </w:rPr>
        <w:t>Metropolitan Sewer District of Greater Cincinnati (MSD)</w:t>
      </w:r>
      <w:r w:rsidR="008719D4" w:rsidRPr="00736D07">
        <w:rPr>
          <w:sz w:val="26"/>
          <w:szCs w:val="26"/>
        </w:rPr>
        <w:t xml:space="preserve"> </w:t>
      </w:r>
      <w:r w:rsidR="007624A7" w:rsidRPr="00736D07">
        <w:rPr>
          <w:sz w:val="26"/>
          <w:szCs w:val="26"/>
        </w:rPr>
        <w:t xml:space="preserve">added </w:t>
      </w:r>
      <w:r w:rsidR="00F348C5" w:rsidRPr="00736D07">
        <w:rPr>
          <w:sz w:val="26"/>
          <w:szCs w:val="26"/>
        </w:rPr>
        <w:t xml:space="preserve">on </w:t>
      </w:r>
      <w:r w:rsidR="007624A7" w:rsidRPr="00736D07">
        <w:rPr>
          <w:sz w:val="26"/>
          <w:szCs w:val="26"/>
        </w:rPr>
        <w:t xml:space="preserve">to the sewer system without increasing </w:t>
      </w:r>
      <w:r w:rsidR="008719D4" w:rsidRPr="00736D07">
        <w:rPr>
          <w:sz w:val="26"/>
          <w:szCs w:val="26"/>
        </w:rPr>
        <w:t>capacity</w:t>
      </w:r>
      <w:r w:rsidR="00F348C5" w:rsidRPr="00736D07">
        <w:rPr>
          <w:sz w:val="26"/>
          <w:szCs w:val="26"/>
        </w:rPr>
        <w:t xml:space="preserve">. When the sewers are overwhelmed with storm water, just like in the 1800s, it is still designed to overflow into our waterways from </w:t>
      </w:r>
      <w:r w:rsidR="007624A7" w:rsidRPr="00736D07">
        <w:rPr>
          <w:b/>
          <w:sz w:val="26"/>
          <w:szCs w:val="26"/>
        </w:rPr>
        <w:t>Sanitary and</w:t>
      </w:r>
      <w:r w:rsidR="007624A7" w:rsidRPr="00736D07">
        <w:rPr>
          <w:sz w:val="26"/>
          <w:szCs w:val="26"/>
        </w:rPr>
        <w:t xml:space="preserve"> </w:t>
      </w:r>
      <w:r w:rsidR="00F348C5" w:rsidRPr="00736D07">
        <w:rPr>
          <w:b/>
          <w:sz w:val="26"/>
          <w:szCs w:val="26"/>
        </w:rPr>
        <w:t>Combined Sewer Overflows (</w:t>
      </w:r>
      <w:r w:rsidR="007624A7" w:rsidRPr="00736D07">
        <w:rPr>
          <w:b/>
          <w:sz w:val="26"/>
          <w:szCs w:val="26"/>
        </w:rPr>
        <w:t xml:space="preserve">SSOs &amp; </w:t>
      </w:r>
      <w:r w:rsidR="00F348C5" w:rsidRPr="00736D07">
        <w:rPr>
          <w:b/>
          <w:sz w:val="26"/>
          <w:szCs w:val="26"/>
        </w:rPr>
        <w:t>CSOs).</w:t>
      </w:r>
      <w:r w:rsidR="00F23360">
        <w:rPr>
          <w:b/>
          <w:sz w:val="26"/>
          <w:szCs w:val="26"/>
        </w:rPr>
        <w:t xml:space="preserve"> </w:t>
      </w:r>
      <w:r w:rsidR="00F23360">
        <w:rPr>
          <w:sz w:val="26"/>
          <w:szCs w:val="26"/>
        </w:rPr>
        <w:t xml:space="preserve">Each year 11.5 billion gallons of untreated sewage and storm water spews into our waterways and neighborhoods. </w:t>
      </w:r>
      <w:r w:rsidR="00F348C5" w:rsidRPr="00736D07">
        <w:rPr>
          <w:i/>
          <w:sz w:val="26"/>
          <w:szCs w:val="26"/>
        </w:rPr>
        <w:t>It also backs up into residents’ basements, causing property damage and harming public health.</w:t>
      </w:r>
      <w:r w:rsidR="00F348C5" w:rsidRPr="00736D07">
        <w:rPr>
          <w:sz w:val="26"/>
          <w:szCs w:val="26"/>
        </w:rPr>
        <w:t xml:space="preserve"> </w:t>
      </w:r>
    </w:p>
    <w:p w:rsidR="00F348C5" w:rsidRPr="00736D07" w:rsidRDefault="007624A7">
      <w:pPr>
        <w:rPr>
          <w:sz w:val="26"/>
          <w:szCs w:val="26"/>
        </w:rPr>
      </w:pPr>
      <w:r w:rsidRPr="00736D07">
        <w:rPr>
          <w:sz w:val="26"/>
          <w:szCs w:val="26"/>
        </w:rPr>
        <w:t>In effort to clean up our nation’s waterways, t</w:t>
      </w:r>
      <w:r w:rsidR="00F348C5" w:rsidRPr="00736D07">
        <w:rPr>
          <w:sz w:val="26"/>
          <w:szCs w:val="26"/>
        </w:rPr>
        <w:t xml:space="preserve">he </w:t>
      </w:r>
      <w:r w:rsidR="00F348C5" w:rsidRPr="00736D07">
        <w:rPr>
          <w:b/>
          <w:sz w:val="26"/>
          <w:szCs w:val="26"/>
        </w:rPr>
        <w:t>Clean Water Act (CWA)</w:t>
      </w:r>
      <w:r w:rsidR="00F348C5" w:rsidRPr="00736D07">
        <w:rPr>
          <w:sz w:val="26"/>
          <w:szCs w:val="26"/>
        </w:rPr>
        <w:t xml:space="preserve"> was passed in 1972</w:t>
      </w:r>
      <w:r w:rsidRPr="00736D07">
        <w:rPr>
          <w:sz w:val="26"/>
          <w:szCs w:val="26"/>
        </w:rPr>
        <w:t>, making our SSOs and CSOs illegal</w:t>
      </w:r>
      <w:r w:rsidR="00F348C5" w:rsidRPr="00736D07">
        <w:rPr>
          <w:sz w:val="26"/>
          <w:szCs w:val="26"/>
        </w:rPr>
        <w:t>.</w:t>
      </w:r>
      <w:r w:rsidR="00F23360">
        <w:rPr>
          <w:sz w:val="26"/>
          <w:szCs w:val="26"/>
        </w:rPr>
        <w:t xml:space="preserve"> Hamilton County has 70 SSOs and 200 CSOs, among the top five in the country for urban CSOs. </w:t>
      </w:r>
      <w:r w:rsidR="00F348C5" w:rsidRPr="00736D07">
        <w:rPr>
          <w:sz w:val="26"/>
          <w:szCs w:val="26"/>
        </w:rPr>
        <w:t xml:space="preserve"> </w:t>
      </w:r>
      <w:r w:rsidR="00980BA2" w:rsidRPr="00736D07">
        <w:rPr>
          <w:sz w:val="26"/>
          <w:szCs w:val="26"/>
        </w:rPr>
        <w:t xml:space="preserve">The </w:t>
      </w:r>
      <w:r w:rsidR="00980BA2" w:rsidRPr="00736D07">
        <w:rPr>
          <w:b/>
          <w:sz w:val="26"/>
          <w:szCs w:val="26"/>
        </w:rPr>
        <w:t>United States Environmental Protection Agency (USEPA)</w:t>
      </w:r>
      <w:r w:rsidR="00B96748" w:rsidRPr="00736D07">
        <w:rPr>
          <w:sz w:val="26"/>
          <w:szCs w:val="26"/>
        </w:rPr>
        <w:t xml:space="preserve"> </w:t>
      </w:r>
      <w:r w:rsidR="009A0350" w:rsidRPr="00736D07">
        <w:rPr>
          <w:sz w:val="26"/>
          <w:szCs w:val="26"/>
        </w:rPr>
        <w:t>negotiat</w:t>
      </w:r>
      <w:r w:rsidR="00980BA2" w:rsidRPr="00736D07">
        <w:rPr>
          <w:sz w:val="26"/>
          <w:szCs w:val="26"/>
        </w:rPr>
        <w:t>ed</w:t>
      </w:r>
      <w:r w:rsidR="009A0350" w:rsidRPr="00736D07">
        <w:rPr>
          <w:sz w:val="26"/>
          <w:szCs w:val="26"/>
        </w:rPr>
        <w:t xml:space="preserve"> with </w:t>
      </w:r>
      <w:r w:rsidR="00980BA2" w:rsidRPr="00736D07">
        <w:rPr>
          <w:sz w:val="26"/>
          <w:szCs w:val="26"/>
        </w:rPr>
        <w:t>the</w:t>
      </w:r>
      <w:r w:rsidRPr="00736D07">
        <w:rPr>
          <w:sz w:val="26"/>
          <w:szCs w:val="26"/>
        </w:rPr>
        <w:t xml:space="preserve"> MSD </w:t>
      </w:r>
      <w:r w:rsidR="00885265" w:rsidRPr="00736D07">
        <w:rPr>
          <w:sz w:val="26"/>
          <w:szCs w:val="26"/>
        </w:rPr>
        <w:t>for compliance with the CWA</w:t>
      </w:r>
      <w:r w:rsidR="00980BA2" w:rsidRPr="00736D07">
        <w:rPr>
          <w:sz w:val="26"/>
          <w:szCs w:val="26"/>
        </w:rPr>
        <w:t xml:space="preserve"> to </w:t>
      </w:r>
      <w:r w:rsidRPr="00736D07">
        <w:rPr>
          <w:sz w:val="26"/>
          <w:szCs w:val="26"/>
        </w:rPr>
        <w:t>fix our sewers</w:t>
      </w:r>
      <w:r w:rsidR="00980BA2" w:rsidRPr="00736D07">
        <w:rPr>
          <w:sz w:val="26"/>
          <w:szCs w:val="26"/>
        </w:rPr>
        <w:t xml:space="preserve"> but</w:t>
      </w:r>
      <w:r w:rsidR="009A0350" w:rsidRPr="00736D07">
        <w:rPr>
          <w:sz w:val="26"/>
          <w:szCs w:val="26"/>
        </w:rPr>
        <w:t xml:space="preserve"> MSD wasn’t complying. </w:t>
      </w:r>
    </w:p>
    <w:p w:rsidR="001409A7" w:rsidRDefault="00F348C5">
      <w:pPr>
        <w:rPr>
          <w:i/>
          <w:sz w:val="26"/>
          <w:szCs w:val="26"/>
        </w:rPr>
      </w:pPr>
      <w:r w:rsidRPr="00736D07">
        <w:rPr>
          <w:sz w:val="26"/>
          <w:szCs w:val="26"/>
        </w:rPr>
        <w:t xml:space="preserve">In 2002, </w:t>
      </w:r>
      <w:r w:rsidR="009A0350" w:rsidRPr="00736D07">
        <w:rPr>
          <w:sz w:val="26"/>
          <w:szCs w:val="26"/>
        </w:rPr>
        <w:t xml:space="preserve">Sierra Club </w:t>
      </w:r>
      <w:r w:rsidRPr="00736D07">
        <w:rPr>
          <w:sz w:val="26"/>
          <w:szCs w:val="26"/>
        </w:rPr>
        <w:t>filed</w:t>
      </w:r>
      <w:r w:rsidR="00F23360">
        <w:rPr>
          <w:sz w:val="26"/>
          <w:szCs w:val="26"/>
        </w:rPr>
        <w:t xml:space="preserve"> in federal </w:t>
      </w:r>
      <w:r w:rsidR="001409A7">
        <w:rPr>
          <w:sz w:val="26"/>
          <w:szCs w:val="26"/>
        </w:rPr>
        <w:t xml:space="preserve">court </w:t>
      </w:r>
      <w:r w:rsidR="001409A7" w:rsidRPr="00736D07">
        <w:rPr>
          <w:sz w:val="26"/>
          <w:szCs w:val="26"/>
        </w:rPr>
        <w:t>“</w:t>
      </w:r>
      <w:r w:rsidR="00E01D7B" w:rsidRPr="00736D07">
        <w:rPr>
          <w:sz w:val="26"/>
          <w:szCs w:val="26"/>
        </w:rPr>
        <w:t>intent</w:t>
      </w:r>
      <w:r w:rsidR="009A0350" w:rsidRPr="00736D07">
        <w:rPr>
          <w:sz w:val="26"/>
          <w:szCs w:val="26"/>
        </w:rPr>
        <w:t xml:space="preserve"> to sue</w:t>
      </w:r>
      <w:r w:rsidR="00980BA2" w:rsidRPr="00736D07">
        <w:rPr>
          <w:sz w:val="26"/>
          <w:szCs w:val="26"/>
        </w:rPr>
        <w:t>”</w:t>
      </w:r>
      <w:r w:rsidR="009A0350" w:rsidRPr="00736D07">
        <w:rPr>
          <w:sz w:val="26"/>
          <w:szCs w:val="26"/>
        </w:rPr>
        <w:t xml:space="preserve"> </w:t>
      </w:r>
      <w:r w:rsidRPr="00736D07">
        <w:rPr>
          <w:sz w:val="26"/>
          <w:szCs w:val="26"/>
        </w:rPr>
        <w:t xml:space="preserve">the </w:t>
      </w:r>
      <w:r w:rsidR="001409A7">
        <w:rPr>
          <w:sz w:val="26"/>
          <w:szCs w:val="26"/>
        </w:rPr>
        <w:t>MSD</w:t>
      </w:r>
      <w:r w:rsidRPr="00736D07">
        <w:rPr>
          <w:sz w:val="26"/>
          <w:szCs w:val="26"/>
        </w:rPr>
        <w:t xml:space="preserve"> </w:t>
      </w:r>
      <w:r w:rsidR="009A0350" w:rsidRPr="00736D07">
        <w:rPr>
          <w:sz w:val="26"/>
          <w:szCs w:val="26"/>
        </w:rPr>
        <w:t>within 60</w:t>
      </w:r>
      <w:r w:rsidR="00980BA2" w:rsidRPr="00736D07">
        <w:rPr>
          <w:sz w:val="26"/>
          <w:szCs w:val="26"/>
        </w:rPr>
        <w:t xml:space="preserve"> days </w:t>
      </w:r>
      <w:r w:rsidRPr="00736D07">
        <w:rPr>
          <w:sz w:val="26"/>
          <w:szCs w:val="26"/>
        </w:rPr>
        <w:t xml:space="preserve">if they would not comply with the CWA to fix the sewers. </w:t>
      </w:r>
      <w:r w:rsidR="00AB33F7">
        <w:rPr>
          <w:sz w:val="26"/>
          <w:szCs w:val="26"/>
        </w:rPr>
        <w:t>To</w:t>
      </w:r>
      <w:r w:rsidR="007624A7" w:rsidRPr="00736D07">
        <w:rPr>
          <w:sz w:val="26"/>
          <w:szCs w:val="26"/>
        </w:rPr>
        <w:t xml:space="preserve"> avoid a court battle with the Sierra Club, </w:t>
      </w:r>
      <w:r w:rsidR="00885265" w:rsidRPr="00736D07">
        <w:rPr>
          <w:sz w:val="26"/>
          <w:szCs w:val="26"/>
        </w:rPr>
        <w:t>MSD</w:t>
      </w:r>
      <w:r w:rsidR="009A0350" w:rsidRPr="00736D07">
        <w:rPr>
          <w:sz w:val="26"/>
          <w:szCs w:val="26"/>
        </w:rPr>
        <w:t xml:space="preserve"> entered into a </w:t>
      </w:r>
      <w:r w:rsidR="00980BA2" w:rsidRPr="00736D07">
        <w:rPr>
          <w:b/>
          <w:sz w:val="26"/>
          <w:szCs w:val="26"/>
        </w:rPr>
        <w:t>Consent D</w:t>
      </w:r>
      <w:r w:rsidR="009A0350" w:rsidRPr="00736D07">
        <w:rPr>
          <w:b/>
          <w:sz w:val="26"/>
          <w:szCs w:val="26"/>
        </w:rPr>
        <w:t xml:space="preserve">ecree </w:t>
      </w:r>
      <w:r w:rsidR="009A0350" w:rsidRPr="00736D07">
        <w:rPr>
          <w:sz w:val="26"/>
          <w:szCs w:val="26"/>
        </w:rPr>
        <w:t xml:space="preserve">with </w:t>
      </w:r>
      <w:r w:rsidR="00980BA2" w:rsidRPr="00736D07">
        <w:rPr>
          <w:sz w:val="26"/>
          <w:szCs w:val="26"/>
        </w:rPr>
        <w:t>their regulators - USEPA, Ohio EPA and the Ohio River Valley Water Sanitation Commission</w:t>
      </w:r>
      <w:r w:rsidR="009A0350" w:rsidRPr="00736D07">
        <w:rPr>
          <w:sz w:val="26"/>
          <w:szCs w:val="26"/>
        </w:rPr>
        <w:t xml:space="preserve">. </w:t>
      </w:r>
    </w:p>
    <w:p w:rsidR="00667650" w:rsidRPr="001409A7" w:rsidRDefault="001409A7">
      <w:pPr>
        <w:rPr>
          <w:b/>
          <w:i/>
          <w:sz w:val="26"/>
          <w:szCs w:val="26"/>
        </w:rPr>
      </w:pPr>
      <w:r w:rsidRPr="00736D07">
        <w:rPr>
          <w:noProof/>
          <w:sz w:val="26"/>
          <w:szCs w:val="26"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5FE325C5" wp14:editId="282CEAC8">
                <wp:simplePos x="0" y="0"/>
                <wp:positionH relativeFrom="margin">
                  <wp:posOffset>3388995</wp:posOffset>
                </wp:positionH>
                <wp:positionV relativeFrom="margin">
                  <wp:posOffset>133985</wp:posOffset>
                </wp:positionV>
                <wp:extent cx="2663825" cy="1702435"/>
                <wp:effectExtent l="0" t="0" r="22225" b="1206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170243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4766" w:rsidRPr="001409A7" w:rsidRDefault="00D30BE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1409A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6"/>
                                <w:szCs w:val="26"/>
                              </w:rPr>
                              <w:t>The Consent Decree governs the Sewer Backup Response Program. See our fact sheet “</w:t>
                            </w:r>
                            <w:r w:rsidRPr="001409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26"/>
                                <w:szCs w:val="26"/>
                              </w:rPr>
                              <w:t>Sewer Backup Response Program</w:t>
                            </w:r>
                            <w:r w:rsidRPr="001409A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6"/>
                                <w:szCs w:val="26"/>
                              </w:rPr>
                              <w:t>” for more on what that program is legally mandated to do to help victims of sewer backups.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266.85pt;margin-top:10.55pt;width:209.75pt;height:134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:rsidR="00574766" w:rsidRPr="001409A7" w:rsidRDefault="00D30BE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1409A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6"/>
                          <w:szCs w:val="26"/>
                        </w:rPr>
                        <w:t>The Consent Decree governs the Sewer Backup Response Program. See our fact sheet “</w:t>
                      </w:r>
                      <w:r w:rsidRPr="001409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26"/>
                          <w:szCs w:val="26"/>
                        </w:rPr>
                        <w:t>Sewer Backup Response Program</w:t>
                      </w:r>
                      <w:r w:rsidRPr="001409A7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6"/>
                          <w:szCs w:val="26"/>
                        </w:rPr>
                        <w:t>” for more on what that program is legally mandated to do to help victims of sewer backups.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7650" w:rsidRPr="001409A7">
        <w:rPr>
          <w:b/>
          <w:i/>
          <w:sz w:val="26"/>
          <w:szCs w:val="26"/>
        </w:rPr>
        <w:t>T</w:t>
      </w:r>
      <w:r w:rsidR="00AB33F7" w:rsidRPr="001409A7">
        <w:rPr>
          <w:b/>
          <w:i/>
          <w:sz w:val="26"/>
          <w:szCs w:val="26"/>
        </w:rPr>
        <w:t xml:space="preserve">he Consent Decree has two basic </w:t>
      </w:r>
      <w:r w:rsidR="00667650" w:rsidRPr="001409A7">
        <w:rPr>
          <w:b/>
          <w:i/>
          <w:sz w:val="26"/>
          <w:szCs w:val="26"/>
        </w:rPr>
        <w:t>requirements: fix the sanitary and combined sewer overflows and help peopl</w:t>
      </w:r>
      <w:r w:rsidR="00E86FC9" w:rsidRPr="001409A7">
        <w:rPr>
          <w:b/>
          <w:i/>
          <w:sz w:val="26"/>
          <w:szCs w:val="26"/>
        </w:rPr>
        <w:t>e who have sewer backups</w:t>
      </w:r>
      <w:r w:rsidR="00667650" w:rsidRPr="001409A7">
        <w:rPr>
          <w:b/>
          <w:i/>
          <w:sz w:val="26"/>
          <w:szCs w:val="26"/>
        </w:rPr>
        <w:t>.</w:t>
      </w:r>
      <w:r w:rsidR="00667650" w:rsidRPr="001409A7">
        <w:rPr>
          <w:b/>
          <w:sz w:val="26"/>
          <w:szCs w:val="26"/>
        </w:rPr>
        <w:t xml:space="preserve"> </w:t>
      </w:r>
    </w:p>
    <w:p w:rsidR="00AB33F7" w:rsidRDefault="00CF3C04">
      <w:pPr>
        <w:rPr>
          <w:sz w:val="26"/>
          <w:szCs w:val="26"/>
        </w:rPr>
      </w:pPr>
      <w:r w:rsidRPr="00736D07">
        <w:rPr>
          <w:sz w:val="26"/>
          <w:szCs w:val="26"/>
        </w:rPr>
        <w:t>Most Consent Decrees have the requirements</w:t>
      </w:r>
      <w:r w:rsidR="00980BA2" w:rsidRPr="00736D07">
        <w:rPr>
          <w:sz w:val="26"/>
          <w:szCs w:val="26"/>
        </w:rPr>
        <w:t xml:space="preserve"> for sewer fixes in them, but ours is set up for the work to be done in “Phases” that the plaintiffs and defendants </w:t>
      </w:r>
      <w:r w:rsidR="00BB3633" w:rsidRPr="00736D07">
        <w:rPr>
          <w:sz w:val="26"/>
          <w:szCs w:val="26"/>
        </w:rPr>
        <w:t>must agree</w:t>
      </w:r>
      <w:r w:rsidR="003E53BB">
        <w:rPr>
          <w:sz w:val="26"/>
          <w:szCs w:val="26"/>
        </w:rPr>
        <w:t xml:space="preserve"> will solve the sewer overflows and  backups. </w:t>
      </w:r>
    </w:p>
    <w:p w:rsidR="00574766" w:rsidRPr="00736D07" w:rsidRDefault="003E53BB">
      <w:pPr>
        <w:rPr>
          <w:sz w:val="26"/>
          <w:szCs w:val="26"/>
        </w:rPr>
      </w:pPr>
      <w:r w:rsidRPr="00736D07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70BB13C5" wp14:editId="53F26BDE">
            <wp:simplePos x="0" y="0"/>
            <wp:positionH relativeFrom="margin">
              <wp:posOffset>47625</wp:posOffset>
            </wp:positionH>
            <wp:positionV relativeFrom="margin">
              <wp:posOffset>2426335</wp:posOffset>
            </wp:positionV>
            <wp:extent cx="2238375" cy="1947545"/>
            <wp:effectExtent l="0" t="0" r="9525" b="0"/>
            <wp:wrapSquare wrapText="bothSides"/>
            <wp:docPr id="3" name="Picture 3" descr="F:\CUFA\People and Planet First\MSD Campaign Main\Facts Sheets\Plaintiffs &amp; Defend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UFA\People and Planet First\MSD Campaign Main\Facts Sheets\Plaintiffs &amp; Defendan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633" w:rsidRPr="00736D07">
        <w:rPr>
          <w:sz w:val="26"/>
          <w:szCs w:val="26"/>
        </w:rPr>
        <w:t xml:space="preserve"> The US</w:t>
      </w:r>
      <w:r w:rsidR="00CF3C04" w:rsidRPr="00736D07">
        <w:rPr>
          <w:sz w:val="26"/>
          <w:szCs w:val="26"/>
        </w:rPr>
        <w:t xml:space="preserve">EPA and MSD fought </w:t>
      </w:r>
      <w:r w:rsidR="003839B8">
        <w:rPr>
          <w:sz w:val="26"/>
          <w:szCs w:val="26"/>
        </w:rPr>
        <w:t>over</w:t>
      </w:r>
      <w:r w:rsidR="00CF3C04" w:rsidRPr="00736D07">
        <w:rPr>
          <w:sz w:val="26"/>
          <w:szCs w:val="26"/>
        </w:rPr>
        <w:t xml:space="preserve"> Phase 1 for </w:t>
      </w:r>
      <w:r w:rsidR="00BB3633" w:rsidRPr="00736D07">
        <w:rPr>
          <w:sz w:val="26"/>
          <w:szCs w:val="26"/>
        </w:rPr>
        <w:t>three</w:t>
      </w:r>
      <w:r w:rsidR="00CF3C04" w:rsidRPr="00736D07">
        <w:rPr>
          <w:sz w:val="26"/>
          <w:szCs w:val="26"/>
        </w:rPr>
        <w:t xml:space="preserve"> y</w:t>
      </w:r>
      <w:r w:rsidR="00BB3633" w:rsidRPr="00736D07">
        <w:rPr>
          <w:sz w:val="26"/>
          <w:szCs w:val="26"/>
        </w:rPr>
        <w:t>ea</w:t>
      </w:r>
      <w:r w:rsidR="00CF3C04" w:rsidRPr="00736D07">
        <w:rPr>
          <w:sz w:val="26"/>
          <w:szCs w:val="26"/>
        </w:rPr>
        <w:t>rs</w:t>
      </w:r>
      <w:r w:rsidR="00BB3633" w:rsidRPr="00736D07">
        <w:rPr>
          <w:sz w:val="26"/>
          <w:szCs w:val="26"/>
        </w:rPr>
        <w:t xml:space="preserve">, but work </w:t>
      </w:r>
      <w:r>
        <w:rPr>
          <w:sz w:val="26"/>
          <w:szCs w:val="26"/>
        </w:rPr>
        <w:t xml:space="preserve">to fix our sewers finally </w:t>
      </w:r>
      <w:r w:rsidR="009A4A7A">
        <w:rPr>
          <w:sz w:val="26"/>
          <w:szCs w:val="26"/>
        </w:rPr>
        <w:t>began in 2009</w:t>
      </w:r>
      <w:r w:rsidR="00BB3633" w:rsidRPr="00736D07">
        <w:rPr>
          <w:sz w:val="26"/>
          <w:szCs w:val="26"/>
        </w:rPr>
        <w:t xml:space="preserve"> </w:t>
      </w:r>
      <w:r>
        <w:rPr>
          <w:sz w:val="26"/>
          <w:szCs w:val="26"/>
        </w:rPr>
        <w:t>with</w:t>
      </w:r>
      <w:r w:rsidR="00BB3633" w:rsidRPr="00736D07">
        <w:rPr>
          <w:sz w:val="26"/>
          <w:szCs w:val="26"/>
        </w:rPr>
        <w:t xml:space="preserve"> </w:t>
      </w:r>
      <w:r>
        <w:rPr>
          <w:sz w:val="26"/>
          <w:szCs w:val="26"/>
        </w:rPr>
        <w:t>what</w:t>
      </w:r>
      <w:r w:rsidR="00BB3633" w:rsidRPr="00736D07">
        <w:rPr>
          <w:sz w:val="26"/>
          <w:szCs w:val="26"/>
        </w:rPr>
        <w:t xml:space="preserve"> MSD now calls “</w:t>
      </w:r>
      <w:r w:rsidR="00BB3633" w:rsidRPr="00736D07">
        <w:rPr>
          <w:b/>
          <w:sz w:val="26"/>
          <w:szCs w:val="26"/>
        </w:rPr>
        <w:t>Project Groundwork</w:t>
      </w:r>
      <w:r w:rsidR="00BB3633" w:rsidRPr="00736D07">
        <w:rPr>
          <w:sz w:val="26"/>
          <w:szCs w:val="26"/>
        </w:rPr>
        <w:t xml:space="preserve">.” </w:t>
      </w:r>
    </w:p>
    <w:p w:rsidR="003E53BB" w:rsidRDefault="00BB3633">
      <w:pPr>
        <w:rPr>
          <w:sz w:val="26"/>
          <w:szCs w:val="26"/>
        </w:rPr>
      </w:pPr>
      <w:r w:rsidRPr="00736D07">
        <w:rPr>
          <w:sz w:val="26"/>
          <w:szCs w:val="26"/>
        </w:rPr>
        <w:t xml:space="preserve">The </w:t>
      </w:r>
      <w:r w:rsidR="008F6E45" w:rsidRPr="00736D07">
        <w:rPr>
          <w:sz w:val="26"/>
          <w:szCs w:val="26"/>
        </w:rPr>
        <w:t xml:space="preserve">County and </w:t>
      </w:r>
      <w:r w:rsidRPr="00736D07">
        <w:rPr>
          <w:sz w:val="26"/>
          <w:szCs w:val="26"/>
        </w:rPr>
        <w:t>City</w:t>
      </w:r>
      <w:r w:rsidR="00667650" w:rsidRPr="00736D07">
        <w:rPr>
          <w:sz w:val="26"/>
          <w:szCs w:val="26"/>
        </w:rPr>
        <w:t>, as the</w:t>
      </w:r>
      <w:r w:rsidR="008F6E45" w:rsidRPr="00736D07">
        <w:rPr>
          <w:sz w:val="26"/>
          <w:szCs w:val="26"/>
        </w:rPr>
        <w:t xml:space="preserve"> owner and</w:t>
      </w:r>
      <w:r w:rsidR="00667650" w:rsidRPr="00736D07">
        <w:rPr>
          <w:sz w:val="26"/>
          <w:szCs w:val="26"/>
        </w:rPr>
        <w:t xml:space="preserve"> operator of MSD, respectively,</w:t>
      </w:r>
      <w:r w:rsidRPr="00736D07">
        <w:rPr>
          <w:sz w:val="26"/>
          <w:szCs w:val="26"/>
        </w:rPr>
        <w:t xml:space="preserve"> submitted separate plans to the USEPA for Phase 2</w:t>
      </w:r>
      <w:r w:rsidR="00667650" w:rsidRPr="00736D07">
        <w:rPr>
          <w:sz w:val="26"/>
          <w:szCs w:val="26"/>
        </w:rPr>
        <w:t>. The USEPA rejected both plans</w:t>
      </w:r>
      <w:r w:rsidR="008F6E45" w:rsidRPr="00736D07">
        <w:rPr>
          <w:sz w:val="26"/>
          <w:szCs w:val="26"/>
        </w:rPr>
        <w:t>, calling for the City and County to agree on Phase 2</w:t>
      </w:r>
      <w:r w:rsidR="00667650" w:rsidRPr="00736D07">
        <w:rPr>
          <w:sz w:val="26"/>
          <w:szCs w:val="26"/>
        </w:rPr>
        <w:t xml:space="preserve">. </w:t>
      </w:r>
    </w:p>
    <w:p w:rsidR="00CF3C04" w:rsidRPr="00736D07" w:rsidRDefault="003E53BB">
      <w:pPr>
        <w:rPr>
          <w:sz w:val="26"/>
          <w:szCs w:val="26"/>
        </w:rPr>
      </w:pPr>
      <w:r w:rsidRPr="00736D07">
        <w:rPr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723C89A4" wp14:editId="17794BAC">
            <wp:simplePos x="0" y="0"/>
            <wp:positionH relativeFrom="margin">
              <wp:posOffset>4460240</wp:posOffset>
            </wp:positionH>
            <wp:positionV relativeFrom="margin">
              <wp:posOffset>4768850</wp:posOffset>
            </wp:positionV>
            <wp:extent cx="1430020" cy="2648585"/>
            <wp:effectExtent l="0" t="0" r="0" b="0"/>
            <wp:wrapSquare wrapText="bothSides"/>
            <wp:docPr id="5" name="Picture 5" descr="F:\CUFA\Photos\2016\7.13.16 Pilot Project Open House\7.13. 16 Rain Barrel Open House\13669829_10207553925032436_55026438629423010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UFA\Photos\2016\7.13.16 Pilot Project Open House\7.13. 16 Rain Barrel Open House\13669829_10207553925032436_550264386294230109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4" t="18715" r="21611" b="5056"/>
                    <a:stretch/>
                  </pic:blipFill>
                  <pic:spPr bwMode="auto">
                    <a:xfrm>
                      <a:off x="0" y="0"/>
                      <a:ext cx="143002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650" w:rsidRPr="00736D07">
        <w:rPr>
          <w:sz w:val="26"/>
          <w:szCs w:val="26"/>
        </w:rPr>
        <w:t>T</w:t>
      </w:r>
      <w:r w:rsidR="00BB3633" w:rsidRPr="00736D07">
        <w:rPr>
          <w:sz w:val="26"/>
          <w:szCs w:val="26"/>
        </w:rPr>
        <w:t>he Court has ordered</w:t>
      </w:r>
      <w:r w:rsidR="00CF3C04" w:rsidRPr="00736D07">
        <w:rPr>
          <w:sz w:val="26"/>
          <w:szCs w:val="26"/>
        </w:rPr>
        <w:t xml:space="preserve"> </w:t>
      </w:r>
      <w:r>
        <w:rPr>
          <w:sz w:val="26"/>
          <w:szCs w:val="26"/>
        </w:rPr>
        <w:t>the County and City into</w:t>
      </w:r>
      <w:r w:rsidR="00BB3633" w:rsidRPr="00736D07">
        <w:rPr>
          <w:sz w:val="26"/>
          <w:szCs w:val="26"/>
        </w:rPr>
        <w:t xml:space="preserve"> mediation to settle </w:t>
      </w:r>
      <w:r w:rsidR="00667650" w:rsidRPr="00736D07">
        <w:rPr>
          <w:sz w:val="26"/>
          <w:szCs w:val="26"/>
        </w:rPr>
        <w:t>on a joint plan</w:t>
      </w:r>
      <w:r w:rsidR="00BB3633" w:rsidRPr="00736D07">
        <w:rPr>
          <w:sz w:val="26"/>
          <w:szCs w:val="26"/>
        </w:rPr>
        <w:t xml:space="preserve">. </w:t>
      </w:r>
      <w:bookmarkStart w:id="0" w:name="_GoBack"/>
      <w:bookmarkEnd w:id="0"/>
      <w:r>
        <w:rPr>
          <w:sz w:val="26"/>
          <w:szCs w:val="26"/>
        </w:rPr>
        <w:t xml:space="preserve">According to the Consent Decree, </w:t>
      </w:r>
      <w:r w:rsidR="00BB3633" w:rsidRPr="00736D07">
        <w:rPr>
          <w:sz w:val="26"/>
          <w:szCs w:val="26"/>
        </w:rPr>
        <w:t xml:space="preserve">work is supposed to commence on </w:t>
      </w:r>
      <w:r w:rsidR="004A7C29" w:rsidRPr="00736D07">
        <w:rPr>
          <w:sz w:val="26"/>
          <w:szCs w:val="26"/>
        </w:rPr>
        <w:t>Phase 2</w:t>
      </w:r>
      <w:r w:rsidR="00BB3633" w:rsidRPr="00736D07">
        <w:rPr>
          <w:sz w:val="26"/>
          <w:szCs w:val="26"/>
        </w:rPr>
        <w:t xml:space="preserve"> in 2020. </w:t>
      </w:r>
      <w:r w:rsidR="00756405" w:rsidRPr="00736D07">
        <w:rPr>
          <w:sz w:val="26"/>
          <w:szCs w:val="26"/>
        </w:rPr>
        <w:t xml:space="preserve">If the plaintiffs and defendants cannot settle on plans for Phase 2, the Court </w:t>
      </w:r>
      <w:r w:rsidR="009A4A7A">
        <w:rPr>
          <w:sz w:val="26"/>
          <w:szCs w:val="26"/>
        </w:rPr>
        <w:t>and the USEPA can exercise their legal authorities for enforcement.</w:t>
      </w:r>
    </w:p>
    <w:p w:rsidR="00585997" w:rsidRPr="00736D07" w:rsidRDefault="00575A76">
      <w:pPr>
        <w:rPr>
          <w:sz w:val="26"/>
          <w:szCs w:val="26"/>
        </w:rPr>
      </w:pPr>
      <w:r w:rsidRPr="00736D07">
        <w:rPr>
          <w:b/>
          <w:sz w:val="26"/>
          <w:szCs w:val="26"/>
        </w:rPr>
        <w:t>Green infrastructure</w:t>
      </w:r>
      <w:r w:rsidR="003E53BB">
        <w:rPr>
          <w:b/>
          <w:sz w:val="26"/>
          <w:szCs w:val="26"/>
        </w:rPr>
        <w:t xml:space="preserve">, </w:t>
      </w:r>
      <w:r w:rsidR="003E53BB" w:rsidRPr="003E53BB">
        <w:rPr>
          <w:sz w:val="26"/>
          <w:szCs w:val="26"/>
        </w:rPr>
        <w:t>like rain barrels and retention ponds</w:t>
      </w:r>
      <w:r w:rsidR="003E53BB">
        <w:rPr>
          <w:b/>
          <w:sz w:val="26"/>
          <w:szCs w:val="26"/>
        </w:rPr>
        <w:t>,</w:t>
      </w:r>
      <w:r w:rsidR="003E53BB">
        <w:rPr>
          <w:sz w:val="26"/>
          <w:szCs w:val="26"/>
        </w:rPr>
        <w:t xml:space="preserve"> can minimize the amount of storm water that enters our sanitary sewers and has been</w:t>
      </w:r>
      <w:r w:rsidRPr="00736D07">
        <w:rPr>
          <w:sz w:val="26"/>
          <w:szCs w:val="26"/>
        </w:rPr>
        <w:t xml:space="preserve"> shown to be effective</w:t>
      </w:r>
      <w:r w:rsidR="00BB3633" w:rsidRPr="00736D07">
        <w:rPr>
          <w:sz w:val="26"/>
          <w:szCs w:val="26"/>
        </w:rPr>
        <w:t xml:space="preserve"> at eliminating CSOs</w:t>
      </w:r>
      <w:r w:rsidR="004A7C29" w:rsidRPr="00736D07">
        <w:rPr>
          <w:sz w:val="26"/>
          <w:szCs w:val="26"/>
        </w:rPr>
        <w:t xml:space="preserve">. </w:t>
      </w:r>
      <w:r w:rsidR="003E53BB" w:rsidRPr="003E53BB">
        <w:rPr>
          <w:b/>
          <w:sz w:val="26"/>
          <w:szCs w:val="26"/>
        </w:rPr>
        <w:t>Grey</w:t>
      </w:r>
      <w:r w:rsidR="003E53BB">
        <w:rPr>
          <w:sz w:val="26"/>
          <w:szCs w:val="26"/>
        </w:rPr>
        <w:t xml:space="preserve"> </w:t>
      </w:r>
      <w:r w:rsidR="004A7C29" w:rsidRPr="00736D07">
        <w:rPr>
          <w:b/>
          <w:sz w:val="26"/>
          <w:szCs w:val="26"/>
        </w:rPr>
        <w:t>infrastructure</w:t>
      </w:r>
      <w:r w:rsidR="004A7C29" w:rsidRPr="00736D07">
        <w:rPr>
          <w:sz w:val="26"/>
          <w:szCs w:val="26"/>
        </w:rPr>
        <w:t>,</w:t>
      </w:r>
      <w:r w:rsidR="00D85339" w:rsidRPr="00736D07">
        <w:rPr>
          <w:sz w:val="26"/>
          <w:szCs w:val="26"/>
        </w:rPr>
        <w:t xml:space="preserve"> </w:t>
      </w:r>
      <w:r w:rsidR="004A7C29" w:rsidRPr="00736D07">
        <w:rPr>
          <w:sz w:val="26"/>
          <w:szCs w:val="26"/>
        </w:rPr>
        <w:t xml:space="preserve">like </w:t>
      </w:r>
      <w:r w:rsidR="00D85339" w:rsidRPr="00736D07">
        <w:rPr>
          <w:sz w:val="26"/>
          <w:szCs w:val="26"/>
        </w:rPr>
        <w:t>increased pipe capacity</w:t>
      </w:r>
      <w:r w:rsidR="004A7C29" w:rsidRPr="00736D07">
        <w:rPr>
          <w:sz w:val="26"/>
          <w:szCs w:val="26"/>
        </w:rPr>
        <w:t xml:space="preserve"> and separate</w:t>
      </w:r>
      <w:r w:rsidR="003839B8">
        <w:rPr>
          <w:sz w:val="26"/>
          <w:szCs w:val="26"/>
        </w:rPr>
        <w:t>d</w:t>
      </w:r>
      <w:r w:rsidR="004A7C29" w:rsidRPr="00736D07">
        <w:rPr>
          <w:sz w:val="26"/>
          <w:szCs w:val="26"/>
        </w:rPr>
        <w:t xml:space="preserve"> storm drains</w:t>
      </w:r>
      <w:r w:rsidR="003839B8">
        <w:rPr>
          <w:sz w:val="26"/>
          <w:szCs w:val="26"/>
        </w:rPr>
        <w:t>, is the traditional way to upgrade sewers</w:t>
      </w:r>
      <w:r w:rsidR="00D85339" w:rsidRPr="00736D07">
        <w:rPr>
          <w:sz w:val="26"/>
          <w:szCs w:val="26"/>
        </w:rPr>
        <w:t xml:space="preserve">. </w:t>
      </w:r>
      <w:r w:rsidR="003E53BB">
        <w:rPr>
          <w:sz w:val="26"/>
          <w:szCs w:val="26"/>
        </w:rPr>
        <w:t>Both methods can be used to comply with the Consent Decree</w:t>
      </w:r>
      <w:r w:rsidR="003839B8">
        <w:rPr>
          <w:sz w:val="26"/>
          <w:szCs w:val="26"/>
        </w:rPr>
        <w:t>, but green infrastructure can be more cost-effective for ratepayers</w:t>
      </w:r>
      <w:r w:rsidR="003E53BB">
        <w:rPr>
          <w:sz w:val="26"/>
          <w:szCs w:val="26"/>
        </w:rPr>
        <w:t xml:space="preserve">. </w:t>
      </w:r>
    </w:p>
    <w:sectPr w:rsidR="00585997" w:rsidRPr="00736D0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4C" w:rsidRDefault="000C374C" w:rsidP="00B96748">
      <w:pPr>
        <w:spacing w:after="0" w:line="240" w:lineRule="auto"/>
      </w:pPr>
      <w:r>
        <w:separator/>
      </w:r>
    </w:p>
  </w:endnote>
  <w:endnote w:type="continuationSeparator" w:id="0">
    <w:p w:rsidR="000C374C" w:rsidRDefault="000C374C" w:rsidP="00B9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07" w:rsidRDefault="009A4A7A" w:rsidP="008F6E45">
    <w:pPr>
      <w:spacing w:after="0" w:line="240" w:lineRule="auto"/>
      <w:jc w:val="center"/>
      <w:rPr>
        <w:rFonts w:ascii="Century Gothic" w:eastAsia="Times New Roman" w:hAnsi="Century Gothic" w:cs="Arial"/>
        <w:b/>
        <w:sz w:val="40"/>
        <w:szCs w:val="40"/>
      </w:rPr>
    </w:pPr>
    <w:r>
      <w:rPr>
        <w:rFonts w:ascii="Century Gothic" w:eastAsia="Times New Roman" w:hAnsi="Century Gothic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9.8pt;margin-top:15.15pt;width:80.65pt;height:80.65pt;z-index:251658240">
          <v:imagedata r:id="rId1" o:title=""/>
          <w10:wrap type="topAndBottom"/>
        </v:shape>
        <o:OLEObject Type="Embed" ProgID="MS_ClipArt_Gallery" ShapeID="_x0000_s2049" DrawAspect="Content" ObjectID="_1612883492" r:id="rId2"/>
      </w:pict>
    </w:r>
  </w:p>
  <w:p w:rsidR="008F6E45" w:rsidRPr="008F6E45" w:rsidRDefault="008F6E45" w:rsidP="008F6E45">
    <w:pPr>
      <w:spacing w:after="0" w:line="240" w:lineRule="auto"/>
      <w:jc w:val="center"/>
      <w:rPr>
        <w:rFonts w:ascii="Century Gothic" w:eastAsia="Times New Roman" w:hAnsi="Century Gothic" w:cs="Arial"/>
        <w:b/>
        <w:sz w:val="40"/>
        <w:szCs w:val="40"/>
      </w:rPr>
    </w:pPr>
    <w:r w:rsidRPr="008F6E45">
      <w:rPr>
        <w:rFonts w:ascii="Century Gothic" w:eastAsia="Times New Roman" w:hAnsi="Century Gothic" w:cs="Arial"/>
        <w:b/>
        <w:sz w:val="40"/>
        <w:szCs w:val="40"/>
      </w:rPr>
      <w:t>Communities United For Action</w:t>
    </w:r>
  </w:p>
  <w:p w:rsidR="008F6E45" w:rsidRPr="008F6E45" w:rsidRDefault="008F6E45" w:rsidP="008F6E45">
    <w:pPr>
      <w:spacing w:after="0" w:line="240" w:lineRule="auto"/>
      <w:jc w:val="center"/>
      <w:rPr>
        <w:rFonts w:ascii="Century Gothic" w:eastAsia="Times New Roman" w:hAnsi="Century Gothic" w:cs="Arial"/>
        <w:sz w:val="28"/>
        <w:szCs w:val="28"/>
      </w:rPr>
    </w:pPr>
    <w:r w:rsidRPr="008F6E45">
      <w:rPr>
        <w:rFonts w:ascii="Century Gothic" w:eastAsia="Times New Roman" w:hAnsi="Century Gothic" w:cs="Arial"/>
        <w:sz w:val="28"/>
        <w:szCs w:val="28"/>
      </w:rPr>
      <w:t xml:space="preserve">1814 </w:t>
    </w:r>
    <w:proofErr w:type="spellStart"/>
    <w:r w:rsidRPr="008F6E45">
      <w:rPr>
        <w:rFonts w:ascii="Century Gothic" w:eastAsia="Times New Roman" w:hAnsi="Century Gothic" w:cs="Arial"/>
        <w:sz w:val="28"/>
        <w:szCs w:val="28"/>
      </w:rPr>
      <w:t>Dreman</w:t>
    </w:r>
    <w:proofErr w:type="spellEnd"/>
    <w:r w:rsidRPr="008F6E45">
      <w:rPr>
        <w:rFonts w:ascii="Century Gothic" w:eastAsia="Times New Roman" w:hAnsi="Century Gothic" w:cs="Arial"/>
        <w:sz w:val="28"/>
        <w:szCs w:val="28"/>
      </w:rPr>
      <w:t xml:space="preserve"> Avenue, Cincinnati, </w:t>
    </w:r>
    <w:smartTag w:uri="urn:schemas-microsoft-com:office:smarttags" w:element="State">
      <w:r w:rsidRPr="008F6E45">
        <w:rPr>
          <w:rFonts w:ascii="Century Gothic" w:eastAsia="Times New Roman" w:hAnsi="Century Gothic" w:cs="Arial"/>
          <w:sz w:val="28"/>
          <w:szCs w:val="28"/>
        </w:rPr>
        <w:t>Ohio</w:t>
      </w:r>
    </w:smartTag>
    <w:r w:rsidRPr="008F6E45">
      <w:rPr>
        <w:rFonts w:ascii="Century Gothic" w:eastAsia="Times New Roman" w:hAnsi="Century Gothic" w:cs="Arial"/>
        <w:sz w:val="28"/>
        <w:szCs w:val="28"/>
      </w:rPr>
      <w:t xml:space="preserve"> </w:t>
    </w:r>
    <w:smartTag w:uri="urn:schemas-microsoft-com:office:smarttags" w:element="PostalCode">
      <w:r w:rsidRPr="008F6E45">
        <w:rPr>
          <w:rFonts w:ascii="Century Gothic" w:eastAsia="Times New Roman" w:hAnsi="Century Gothic" w:cs="Arial"/>
          <w:sz w:val="28"/>
          <w:szCs w:val="28"/>
        </w:rPr>
        <w:t>45223</w:t>
      </w:r>
    </w:smartTag>
  </w:p>
  <w:p w:rsidR="008F6E45" w:rsidRPr="008F6E45" w:rsidRDefault="008F6E45" w:rsidP="008F6E45">
    <w:pPr>
      <w:spacing w:after="0" w:line="240" w:lineRule="auto"/>
      <w:jc w:val="center"/>
      <w:rPr>
        <w:rFonts w:ascii="Century Gothic" w:eastAsia="Times New Roman" w:hAnsi="Century Gothic" w:cs="Arial"/>
        <w:sz w:val="28"/>
        <w:szCs w:val="28"/>
      </w:rPr>
    </w:pPr>
    <w:r w:rsidRPr="008F6E45">
      <w:rPr>
        <w:rFonts w:ascii="Century Gothic" w:eastAsia="Times New Roman" w:hAnsi="Century Gothic" w:cs="Arial"/>
        <w:sz w:val="28"/>
        <w:szCs w:val="28"/>
      </w:rPr>
      <w:t>(513) 853-3947 www.cufacincy.org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4C" w:rsidRDefault="000C374C" w:rsidP="00B96748">
      <w:pPr>
        <w:spacing w:after="0" w:line="240" w:lineRule="auto"/>
      </w:pPr>
      <w:r>
        <w:separator/>
      </w:r>
    </w:p>
  </w:footnote>
  <w:footnote w:type="continuationSeparator" w:id="0">
    <w:p w:rsidR="000C374C" w:rsidRDefault="000C374C" w:rsidP="00B9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48" w:rsidRPr="00736D07" w:rsidRDefault="00980BA2" w:rsidP="00980BA2">
    <w:pPr>
      <w:pStyle w:val="Header"/>
      <w:jc w:val="center"/>
      <w:rPr>
        <w:b/>
        <w:sz w:val="40"/>
        <w:szCs w:val="40"/>
      </w:rPr>
    </w:pPr>
    <w:r w:rsidRPr="00736D07">
      <w:rPr>
        <w:b/>
        <w:sz w:val="40"/>
        <w:szCs w:val="40"/>
      </w:rPr>
      <w:t>Consent</w:t>
    </w:r>
    <w:r w:rsidR="00D85339" w:rsidRPr="00736D07">
      <w:rPr>
        <w:b/>
        <w:sz w:val="40"/>
        <w:szCs w:val="40"/>
      </w:rPr>
      <w:t xml:space="preserve"> Decree 101: The Court Case to F</w:t>
    </w:r>
    <w:r w:rsidRPr="00736D07">
      <w:rPr>
        <w:b/>
        <w:sz w:val="40"/>
        <w:szCs w:val="40"/>
      </w:rPr>
      <w:t xml:space="preserve">ix our </w:t>
    </w:r>
    <w:r w:rsidR="00574766" w:rsidRPr="00736D07">
      <w:rPr>
        <w:b/>
        <w:sz w:val="40"/>
        <w:szCs w:val="40"/>
      </w:rPr>
      <w:t>Sewers</w:t>
    </w:r>
  </w:p>
  <w:p w:rsidR="00B96748" w:rsidRDefault="00B96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78A4"/>
    <w:multiLevelType w:val="multilevel"/>
    <w:tmpl w:val="EEE2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48"/>
    <w:rsid w:val="000C374C"/>
    <w:rsid w:val="001409A7"/>
    <w:rsid w:val="0022688B"/>
    <w:rsid w:val="00317073"/>
    <w:rsid w:val="003839B8"/>
    <w:rsid w:val="003E53BB"/>
    <w:rsid w:val="00443E46"/>
    <w:rsid w:val="00461010"/>
    <w:rsid w:val="004A7C29"/>
    <w:rsid w:val="004F3F5F"/>
    <w:rsid w:val="00574766"/>
    <w:rsid w:val="00575A76"/>
    <w:rsid w:val="00585997"/>
    <w:rsid w:val="00667650"/>
    <w:rsid w:val="00687AE4"/>
    <w:rsid w:val="00687FBE"/>
    <w:rsid w:val="00736D07"/>
    <w:rsid w:val="00756405"/>
    <w:rsid w:val="007624A7"/>
    <w:rsid w:val="008719D4"/>
    <w:rsid w:val="00885265"/>
    <w:rsid w:val="008B59EE"/>
    <w:rsid w:val="008F6E45"/>
    <w:rsid w:val="00970E40"/>
    <w:rsid w:val="00980BA2"/>
    <w:rsid w:val="009875D9"/>
    <w:rsid w:val="009A0350"/>
    <w:rsid w:val="009A4A7A"/>
    <w:rsid w:val="009B4BD4"/>
    <w:rsid w:val="00AB33F7"/>
    <w:rsid w:val="00B96748"/>
    <w:rsid w:val="00BB3633"/>
    <w:rsid w:val="00BF07E2"/>
    <w:rsid w:val="00C801E1"/>
    <w:rsid w:val="00CF3C04"/>
    <w:rsid w:val="00D30BE3"/>
    <w:rsid w:val="00D63A00"/>
    <w:rsid w:val="00D85339"/>
    <w:rsid w:val="00E01D7B"/>
    <w:rsid w:val="00E86FC9"/>
    <w:rsid w:val="00E943C9"/>
    <w:rsid w:val="00F23360"/>
    <w:rsid w:val="00F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48"/>
  </w:style>
  <w:style w:type="paragraph" w:styleId="Footer">
    <w:name w:val="footer"/>
    <w:basedOn w:val="Normal"/>
    <w:link w:val="FooterChar"/>
    <w:uiPriority w:val="99"/>
    <w:unhideWhenUsed/>
    <w:rsid w:val="00B9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48"/>
  </w:style>
  <w:style w:type="paragraph" w:styleId="BalloonText">
    <w:name w:val="Balloon Text"/>
    <w:basedOn w:val="Normal"/>
    <w:link w:val="BalloonTextChar"/>
    <w:uiPriority w:val="99"/>
    <w:semiHidden/>
    <w:unhideWhenUsed/>
    <w:rsid w:val="00B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48"/>
  </w:style>
  <w:style w:type="paragraph" w:styleId="Footer">
    <w:name w:val="footer"/>
    <w:basedOn w:val="Normal"/>
    <w:link w:val="FooterChar"/>
    <w:uiPriority w:val="99"/>
    <w:unhideWhenUsed/>
    <w:rsid w:val="00B9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48"/>
  </w:style>
  <w:style w:type="paragraph" w:styleId="BalloonText">
    <w:name w:val="Balloon Text"/>
    <w:basedOn w:val="Normal"/>
    <w:link w:val="BalloonTextChar"/>
    <w:uiPriority w:val="99"/>
    <w:semiHidden/>
    <w:unhideWhenUsed/>
    <w:rsid w:val="00B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Dell_Inspiron_15</dc:creator>
  <cp:lastModifiedBy>Alison Auciello</cp:lastModifiedBy>
  <cp:revision>8</cp:revision>
  <dcterms:created xsi:type="dcterms:W3CDTF">2018-11-09T21:57:00Z</dcterms:created>
  <dcterms:modified xsi:type="dcterms:W3CDTF">2019-02-28T23:25:00Z</dcterms:modified>
</cp:coreProperties>
</file>