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5E809" w14:textId="3DB022FD" w:rsidR="0076674E" w:rsidRPr="00011752" w:rsidRDefault="0076674E" w:rsidP="00B649EF">
      <w:pPr>
        <w:spacing w:line="240" w:lineRule="auto"/>
        <w:rPr>
          <w:rFonts w:ascii="Times New Roman" w:hAnsi="Times New Roman" w:cs="Times New Roman"/>
          <w:sz w:val="20"/>
          <w:szCs w:val="20"/>
        </w:rPr>
      </w:pPr>
      <w:r w:rsidRPr="00011752">
        <w:rPr>
          <w:rFonts w:ascii="Times New Roman" w:hAnsi="Times New Roman" w:cs="Times New Roman"/>
          <w:sz w:val="20"/>
          <w:szCs w:val="20"/>
        </w:rPr>
        <w:t>Dear Minister Moss,</w:t>
      </w:r>
    </w:p>
    <w:p w14:paraId="4739BDB3" w14:textId="144FB736" w:rsidR="00E72EEC" w:rsidRPr="00011752" w:rsidRDefault="00F16A64" w:rsidP="00B649EF">
      <w:pPr>
        <w:spacing w:line="240" w:lineRule="auto"/>
        <w:rPr>
          <w:rFonts w:ascii="Times New Roman" w:hAnsi="Times New Roman" w:cs="Times New Roman"/>
          <w:sz w:val="20"/>
          <w:szCs w:val="20"/>
        </w:rPr>
      </w:pPr>
      <w:r w:rsidRPr="00011752">
        <w:rPr>
          <w:rFonts w:ascii="Times New Roman" w:hAnsi="Times New Roman" w:cs="Times New Roman"/>
          <w:sz w:val="20"/>
          <w:szCs w:val="20"/>
        </w:rPr>
        <w:t xml:space="preserve">I'm writing to ask you to </w:t>
      </w:r>
      <w:r w:rsidRPr="00011752">
        <w:rPr>
          <w:rFonts w:ascii="Times New Roman" w:hAnsi="Times New Roman" w:cs="Times New Roman"/>
          <w:sz w:val="20"/>
          <w:szCs w:val="20"/>
          <w:u w:val="single"/>
        </w:rPr>
        <w:t>urgently intervene</w:t>
      </w:r>
      <w:r w:rsidRPr="00011752">
        <w:rPr>
          <w:rFonts w:ascii="Times New Roman" w:hAnsi="Times New Roman" w:cs="Times New Roman"/>
          <w:sz w:val="20"/>
          <w:szCs w:val="20"/>
        </w:rPr>
        <w:t xml:space="preserve"> to protect </w:t>
      </w:r>
      <w:r w:rsidR="00E72EEC" w:rsidRPr="00011752">
        <w:rPr>
          <w:rFonts w:ascii="Times New Roman" w:hAnsi="Times New Roman" w:cs="Times New Roman"/>
          <w:sz w:val="20"/>
          <w:szCs w:val="20"/>
        </w:rPr>
        <w:t>everyone and everything that relies on freshwater</w:t>
      </w:r>
      <w:r w:rsidR="006A04C6" w:rsidRPr="00011752">
        <w:rPr>
          <w:rFonts w:ascii="Times New Roman" w:hAnsi="Times New Roman" w:cs="Times New Roman"/>
          <w:sz w:val="20"/>
          <w:szCs w:val="20"/>
        </w:rPr>
        <w:t>,</w:t>
      </w:r>
      <w:r w:rsidR="00E72EEC" w:rsidRPr="00011752">
        <w:rPr>
          <w:rFonts w:ascii="Times New Roman" w:hAnsi="Times New Roman" w:cs="Times New Roman"/>
          <w:sz w:val="20"/>
          <w:szCs w:val="20"/>
        </w:rPr>
        <w:t xml:space="preserve"> </w:t>
      </w:r>
      <w:r w:rsidRPr="00011752">
        <w:rPr>
          <w:rFonts w:ascii="Times New Roman" w:hAnsi="Times New Roman" w:cs="Times New Roman"/>
          <w:sz w:val="20"/>
          <w:szCs w:val="20"/>
        </w:rPr>
        <w:t xml:space="preserve">from the largest water allocation in the </w:t>
      </w:r>
      <w:r w:rsidR="006A04C6" w:rsidRPr="00011752">
        <w:rPr>
          <w:rFonts w:ascii="Times New Roman" w:hAnsi="Times New Roman" w:cs="Times New Roman"/>
          <w:sz w:val="20"/>
          <w:szCs w:val="20"/>
        </w:rPr>
        <w:t>Territory’s</w:t>
      </w:r>
      <w:r w:rsidRPr="00011752">
        <w:rPr>
          <w:rFonts w:ascii="Times New Roman" w:hAnsi="Times New Roman" w:cs="Times New Roman"/>
          <w:sz w:val="20"/>
          <w:szCs w:val="20"/>
        </w:rPr>
        <w:t xml:space="preserve"> History</w:t>
      </w:r>
      <w:r w:rsidR="00E72EEC" w:rsidRPr="00011752">
        <w:rPr>
          <w:rFonts w:ascii="Times New Roman" w:hAnsi="Times New Roman" w:cs="Times New Roman"/>
          <w:sz w:val="20"/>
          <w:szCs w:val="20"/>
        </w:rPr>
        <w:t>.</w:t>
      </w:r>
      <w:r w:rsidRPr="00011752">
        <w:rPr>
          <w:rFonts w:ascii="Times New Roman" w:hAnsi="Times New Roman" w:cs="Times New Roman"/>
          <w:sz w:val="20"/>
          <w:szCs w:val="20"/>
        </w:rPr>
        <w:t xml:space="preserve"> </w:t>
      </w:r>
    </w:p>
    <w:p w14:paraId="1CF1386A" w14:textId="77A8A4A3" w:rsidR="00784305" w:rsidRPr="00011752" w:rsidRDefault="00E72EEC" w:rsidP="00784305">
      <w:pPr>
        <w:pBdr>
          <w:bottom w:val="single" w:sz="6" w:space="1" w:color="auto"/>
        </w:pBdr>
        <w:spacing w:line="240" w:lineRule="auto"/>
        <w:rPr>
          <w:rFonts w:ascii="Times New Roman" w:hAnsi="Times New Roman" w:cs="Times New Roman"/>
          <w:sz w:val="20"/>
          <w:szCs w:val="20"/>
        </w:rPr>
      </w:pPr>
      <w:r w:rsidRPr="00011752">
        <w:rPr>
          <w:rFonts w:ascii="Times New Roman" w:hAnsi="Times New Roman" w:cs="Times New Roman"/>
          <w:sz w:val="20"/>
          <w:szCs w:val="20"/>
        </w:rPr>
        <w:t xml:space="preserve">The Georgina </w:t>
      </w:r>
      <w:proofErr w:type="spellStart"/>
      <w:r w:rsidRPr="00011752">
        <w:rPr>
          <w:rFonts w:ascii="Times New Roman" w:hAnsi="Times New Roman" w:cs="Times New Roman"/>
          <w:sz w:val="20"/>
          <w:szCs w:val="20"/>
        </w:rPr>
        <w:t>Wiso</w:t>
      </w:r>
      <w:proofErr w:type="spellEnd"/>
      <w:r w:rsidRPr="00011752">
        <w:rPr>
          <w:rFonts w:ascii="Times New Roman" w:hAnsi="Times New Roman" w:cs="Times New Roman"/>
          <w:sz w:val="20"/>
          <w:szCs w:val="20"/>
        </w:rPr>
        <w:t xml:space="preserve"> Water Allocation Plan gives away 200 billion litres, 13x more than </w:t>
      </w:r>
      <w:r w:rsidR="00D17909" w:rsidRPr="00011752">
        <w:rPr>
          <w:rFonts w:ascii="Times New Roman" w:hAnsi="Times New Roman" w:cs="Times New Roman"/>
          <w:sz w:val="20"/>
          <w:szCs w:val="20"/>
        </w:rPr>
        <w:t xml:space="preserve">all </w:t>
      </w:r>
      <w:r w:rsidR="00203AAA" w:rsidRPr="00011752">
        <w:rPr>
          <w:rFonts w:ascii="Times New Roman" w:hAnsi="Times New Roman" w:cs="Times New Roman"/>
          <w:sz w:val="20"/>
          <w:szCs w:val="20"/>
        </w:rPr>
        <w:t>ground</w:t>
      </w:r>
      <w:r w:rsidR="00D17909" w:rsidRPr="00011752">
        <w:rPr>
          <w:rFonts w:ascii="Times New Roman" w:hAnsi="Times New Roman" w:cs="Times New Roman"/>
          <w:sz w:val="20"/>
          <w:szCs w:val="20"/>
        </w:rPr>
        <w:t>water</w:t>
      </w:r>
      <w:r w:rsidRPr="00011752">
        <w:rPr>
          <w:rFonts w:ascii="Times New Roman" w:hAnsi="Times New Roman" w:cs="Times New Roman"/>
          <w:sz w:val="20"/>
          <w:szCs w:val="20"/>
        </w:rPr>
        <w:t xml:space="preserve"> currently used in the area, to unregulated industries like fracking, </w:t>
      </w:r>
      <w:proofErr w:type="gramStart"/>
      <w:r w:rsidRPr="00011752">
        <w:rPr>
          <w:rFonts w:ascii="Times New Roman" w:hAnsi="Times New Roman" w:cs="Times New Roman"/>
          <w:sz w:val="20"/>
          <w:szCs w:val="20"/>
        </w:rPr>
        <w:t>cotton</w:t>
      </w:r>
      <w:proofErr w:type="gramEnd"/>
      <w:r w:rsidRPr="00011752">
        <w:rPr>
          <w:rFonts w:ascii="Times New Roman" w:hAnsi="Times New Roman" w:cs="Times New Roman"/>
          <w:sz w:val="20"/>
          <w:szCs w:val="20"/>
        </w:rPr>
        <w:t xml:space="preserve"> and mining</w:t>
      </w:r>
      <w:r w:rsidR="00784305" w:rsidRPr="00011752">
        <w:rPr>
          <w:rFonts w:ascii="Times New Roman" w:hAnsi="Times New Roman" w:cs="Times New Roman"/>
          <w:sz w:val="20"/>
          <w:szCs w:val="20"/>
        </w:rPr>
        <w:t>.</w:t>
      </w:r>
    </w:p>
    <w:p w14:paraId="176F4BEC" w14:textId="77777777" w:rsidR="00784305" w:rsidRPr="00011752" w:rsidRDefault="00784305" w:rsidP="00784305">
      <w:pPr>
        <w:pBdr>
          <w:bottom w:val="single" w:sz="6" w:space="1" w:color="auto"/>
        </w:pBdr>
        <w:spacing w:line="240" w:lineRule="auto"/>
        <w:rPr>
          <w:rFonts w:ascii="Times New Roman" w:hAnsi="Times New Roman" w:cs="Times New Roman"/>
          <w:sz w:val="20"/>
          <w:szCs w:val="20"/>
        </w:rPr>
      </w:pPr>
    </w:p>
    <w:p w14:paraId="54A2C2AA" w14:textId="77777777" w:rsidR="00784305" w:rsidRPr="00011752" w:rsidRDefault="00784305" w:rsidP="00784305">
      <w:pPr>
        <w:spacing w:line="240" w:lineRule="auto"/>
        <w:rPr>
          <w:rFonts w:ascii="Times New Roman" w:hAnsi="Times New Roman" w:cs="Times New Roman"/>
          <w:sz w:val="20"/>
          <w:szCs w:val="20"/>
        </w:rPr>
      </w:pPr>
    </w:p>
    <w:p w14:paraId="73A57C22" w14:textId="5BD5E7EB" w:rsidR="00784305" w:rsidRPr="00011752" w:rsidRDefault="00784305" w:rsidP="00CD1E33">
      <w:pPr>
        <w:pBdr>
          <w:top w:val="single" w:sz="6" w:space="1" w:color="auto"/>
          <w:bottom w:val="single" w:sz="6" w:space="1" w:color="auto"/>
        </w:pBdr>
        <w:spacing w:line="240" w:lineRule="auto"/>
        <w:rPr>
          <w:rFonts w:ascii="Times New Roman" w:hAnsi="Times New Roman" w:cs="Times New Roman"/>
          <w:sz w:val="20"/>
          <w:szCs w:val="20"/>
        </w:rPr>
      </w:pPr>
    </w:p>
    <w:p w14:paraId="28444614" w14:textId="77777777" w:rsidR="00784305" w:rsidRPr="00011752" w:rsidRDefault="00784305" w:rsidP="00CD1E33">
      <w:pPr>
        <w:pBdr>
          <w:top w:val="single" w:sz="6" w:space="1" w:color="auto"/>
          <w:bottom w:val="single" w:sz="6" w:space="1" w:color="auto"/>
        </w:pBdr>
        <w:spacing w:line="240" w:lineRule="auto"/>
        <w:rPr>
          <w:rFonts w:ascii="Times New Roman" w:hAnsi="Times New Roman" w:cs="Times New Roman"/>
          <w:sz w:val="20"/>
          <w:szCs w:val="20"/>
        </w:rPr>
      </w:pPr>
    </w:p>
    <w:p w14:paraId="4C545F39" w14:textId="34B3F1E7" w:rsidR="00784305" w:rsidRPr="00011752" w:rsidRDefault="00784305" w:rsidP="00CD1E33">
      <w:pPr>
        <w:pBdr>
          <w:bottom w:val="single" w:sz="6" w:space="1" w:color="auto"/>
          <w:between w:val="single" w:sz="6" w:space="1" w:color="auto"/>
        </w:pBdr>
        <w:spacing w:line="240" w:lineRule="auto"/>
        <w:rPr>
          <w:rFonts w:ascii="Times New Roman" w:hAnsi="Times New Roman" w:cs="Times New Roman"/>
          <w:sz w:val="20"/>
          <w:szCs w:val="20"/>
        </w:rPr>
      </w:pPr>
    </w:p>
    <w:p w14:paraId="4F957B9C" w14:textId="108EA78B" w:rsidR="00784305" w:rsidRPr="00011752" w:rsidRDefault="00784305" w:rsidP="00CD1E33">
      <w:pPr>
        <w:pBdr>
          <w:bottom w:val="single" w:sz="6" w:space="1" w:color="auto"/>
          <w:between w:val="single" w:sz="6" w:space="1" w:color="auto"/>
        </w:pBdr>
        <w:spacing w:line="240" w:lineRule="auto"/>
        <w:rPr>
          <w:rFonts w:ascii="Times New Roman" w:hAnsi="Times New Roman" w:cs="Times New Roman"/>
          <w:sz w:val="20"/>
          <w:szCs w:val="20"/>
        </w:rPr>
      </w:pPr>
    </w:p>
    <w:p w14:paraId="6A315DF2" w14:textId="77777777" w:rsidR="00784305" w:rsidRPr="00011752" w:rsidRDefault="00784305" w:rsidP="00CD1E33">
      <w:pPr>
        <w:pBdr>
          <w:bottom w:val="single" w:sz="6" w:space="1" w:color="auto"/>
          <w:between w:val="single" w:sz="6" w:space="1" w:color="auto"/>
        </w:pBdr>
        <w:spacing w:line="240" w:lineRule="auto"/>
        <w:rPr>
          <w:rFonts w:ascii="Times New Roman" w:hAnsi="Times New Roman" w:cs="Times New Roman"/>
          <w:sz w:val="20"/>
          <w:szCs w:val="20"/>
        </w:rPr>
      </w:pPr>
    </w:p>
    <w:p w14:paraId="362CE343" w14:textId="77777777" w:rsidR="00703A00" w:rsidRDefault="00703A00" w:rsidP="00B649EF">
      <w:pPr>
        <w:spacing w:line="240" w:lineRule="auto"/>
        <w:rPr>
          <w:rFonts w:ascii="Times New Roman" w:hAnsi="Times New Roman" w:cs="Times New Roman"/>
          <w:sz w:val="20"/>
          <w:szCs w:val="20"/>
        </w:rPr>
      </w:pPr>
    </w:p>
    <w:p w14:paraId="0C12E6ED" w14:textId="4109F5F1" w:rsidR="00DA22F9" w:rsidRPr="00011752" w:rsidRDefault="00E72EEC" w:rsidP="00B649EF">
      <w:pPr>
        <w:spacing w:line="240" w:lineRule="auto"/>
        <w:rPr>
          <w:rFonts w:ascii="Times New Roman" w:hAnsi="Times New Roman" w:cs="Times New Roman"/>
          <w:sz w:val="20"/>
          <w:szCs w:val="20"/>
        </w:rPr>
      </w:pPr>
      <w:r w:rsidRPr="00011752">
        <w:rPr>
          <w:rFonts w:ascii="Times New Roman" w:hAnsi="Times New Roman" w:cs="Times New Roman"/>
          <w:sz w:val="20"/>
          <w:szCs w:val="20"/>
        </w:rPr>
        <w:t xml:space="preserve">I implore you to delay the declaration of the Georgina </w:t>
      </w:r>
      <w:proofErr w:type="spellStart"/>
      <w:r w:rsidRPr="00011752">
        <w:rPr>
          <w:rFonts w:ascii="Times New Roman" w:hAnsi="Times New Roman" w:cs="Times New Roman"/>
          <w:sz w:val="20"/>
          <w:szCs w:val="20"/>
        </w:rPr>
        <w:t>Wiso</w:t>
      </w:r>
      <w:proofErr w:type="spellEnd"/>
      <w:r w:rsidRPr="00011752">
        <w:rPr>
          <w:rFonts w:ascii="Times New Roman" w:hAnsi="Times New Roman" w:cs="Times New Roman"/>
          <w:sz w:val="20"/>
          <w:szCs w:val="20"/>
        </w:rPr>
        <w:t xml:space="preserve"> Water Allocation Plan for t</w:t>
      </w:r>
      <w:r w:rsidR="00F16A64" w:rsidRPr="00011752">
        <w:rPr>
          <w:rFonts w:ascii="Times New Roman" w:hAnsi="Times New Roman" w:cs="Times New Roman"/>
          <w:sz w:val="20"/>
          <w:szCs w:val="20"/>
        </w:rPr>
        <w:t>he following</w:t>
      </w:r>
      <w:r w:rsidRPr="00011752">
        <w:rPr>
          <w:rFonts w:ascii="Times New Roman" w:hAnsi="Times New Roman" w:cs="Times New Roman"/>
          <w:sz w:val="20"/>
          <w:szCs w:val="20"/>
        </w:rPr>
        <w:t xml:space="preserve"> reasons</w:t>
      </w:r>
      <w:r w:rsidR="00F16A64" w:rsidRPr="00011752">
        <w:rPr>
          <w:rFonts w:ascii="Times New Roman" w:hAnsi="Times New Roman" w:cs="Times New Roman"/>
          <w:sz w:val="20"/>
          <w:szCs w:val="20"/>
        </w:rPr>
        <w:t>:</w:t>
      </w:r>
    </w:p>
    <w:p w14:paraId="5F02CBF7" w14:textId="77777777" w:rsidR="00F16A64" w:rsidRPr="000A3E9D" w:rsidRDefault="00F16A64" w:rsidP="00F16A64">
      <w:pPr>
        <w:rPr>
          <w:rFonts w:ascii="Times New Roman" w:hAnsi="Times New Roman" w:cs="Times New Roman"/>
          <w:sz w:val="20"/>
          <w:szCs w:val="20"/>
          <w:u w:val="single"/>
        </w:rPr>
      </w:pPr>
      <w:r w:rsidRPr="000A3E9D">
        <w:rPr>
          <w:rFonts w:ascii="Times New Roman" w:hAnsi="Times New Roman" w:cs="Times New Roman"/>
          <w:sz w:val="20"/>
          <w:szCs w:val="20"/>
          <w:u w:val="single"/>
        </w:rPr>
        <w:t>Non-compliance with the NWI</w:t>
      </w:r>
    </w:p>
    <w:p w14:paraId="02718F74" w14:textId="77777777" w:rsidR="00F16A64" w:rsidRPr="000A3E9D" w:rsidRDefault="00F16A64" w:rsidP="00F16A64">
      <w:pPr>
        <w:rPr>
          <w:rFonts w:ascii="Times New Roman" w:hAnsi="Times New Roman" w:cs="Times New Roman"/>
          <w:sz w:val="20"/>
          <w:szCs w:val="20"/>
        </w:rPr>
      </w:pPr>
      <w:r w:rsidRPr="000A3E9D">
        <w:rPr>
          <w:rFonts w:ascii="Times New Roman" w:hAnsi="Times New Roman" w:cs="Times New Roman"/>
          <w:sz w:val="20"/>
          <w:szCs w:val="20"/>
        </w:rPr>
        <w:t>The NWI requires that water sharing plans be:</w:t>
      </w:r>
    </w:p>
    <w:p w14:paraId="60B85261" w14:textId="77777777" w:rsidR="00F16A64" w:rsidRPr="000A3E9D" w:rsidRDefault="00F16A64" w:rsidP="00F16A64">
      <w:pPr>
        <w:spacing w:line="360" w:lineRule="auto"/>
        <w:ind w:left="720"/>
        <w:rPr>
          <w:rFonts w:ascii="Times New Roman" w:hAnsi="Times New Roman" w:cs="Times New Roman"/>
          <w:sz w:val="20"/>
          <w:szCs w:val="20"/>
        </w:rPr>
      </w:pPr>
      <w:r w:rsidRPr="000A3E9D">
        <w:rPr>
          <w:rFonts w:ascii="Times New Roman" w:hAnsi="Times New Roman" w:cs="Times New Roman"/>
          <w:sz w:val="20"/>
          <w:szCs w:val="20"/>
        </w:rPr>
        <w:t>“</w:t>
      </w:r>
      <w:proofErr w:type="gramStart"/>
      <w:r w:rsidRPr="000A3E9D">
        <w:rPr>
          <w:rFonts w:ascii="Times New Roman" w:hAnsi="Times New Roman" w:cs="Times New Roman"/>
          <w:sz w:val="20"/>
          <w:szCs w:val="20"/>
        </w:rPr>
        <w:t>developed</w:t>
      </w:r>
      <w:proofErr w:type="gramEnd"/>
      <w:r w:rsidRPr="000A3E9D">
        <w:rPr>
          <w:rFonts w:ascii="Times New Roman" w:hAnsi="Times New Roman" w:cs="Times New Roman"/>
          <w:sz w:val="20"/>
          <w:szCs w:val="20"/>
        </w:rPr>
        <w:t xml:space="preserve"> in consultation with all relevant stakeholders on the basis of best scientific and socio-economic assessment, to provide secure ecological outcomes and resource security for users” (see Schedule B(</w:t>
      </w:r>
      <w:proofErr w:type="spellStart"/>
      <w:r w:rsidRPr="000A3E9D">
        <w:rPr>
          <w:rFonts w:ascii="Times New Roman" w:hAnsi="Times New Roman" w:cs="Times New Roman"/>
          <w:sz w:val="20"/>
          <w:szCs w:val="20"/>
        </w:rPr>
        <w:t>i</w:t>
      </w:r>
      <w:proofErr w:type="spellEnd"/>
      <w:r w:rsidRPr="000A3E9D">
        <w:rPr>
          <w:rFonts w:ascii="Times New Roman" w:hAnsi="Times New Roman" w:cs="Times New Roman"/>
          <w:sz w:val="20"/>
          <w:szCs w:val="20"/>
        </w:rPr>
        <w:t xml:space="preserve">)). </w:t>
      </w:r>
    </w:p>
    <w:p w14:paraId="3A446F6D" w14:textId="77777777" w:rsidR="00F16A64" w:rsidRPr="000A3E9D" w:rsidRDefault="00F16A64" w:rsidP="00F16A64">
      <w:pPr>
        <w:rPr>
          <w:rFonts w:ascii="Times New Roman" w:hAnsi="Times New Roman" w:cs="Times New Roman"/>
          <w:sz w:val="20"/>
          <w:szCs w:val="20"/>
        </w:rPr>
      </w:pPr>
      <w:r w:rsidRPr="000A3E9D">
        <w:rPr>
          <w:rFonts w:ascii="Times New Roman" w:hAnsi="Times New Roman" w:cs="Times New Roman"/>
          <w:sz w:val="20"/>
          <w:szCs w:val="20"/>
        </w:rPr>
        <w:t>The NTG did not establish a water advisory committee to develop the plan, which is inconsistent with normal NT practice and the National Water Initiative. There is no evidence that it will provide secure ecological outcomes, nor that it is based on best scientific and socio-economic assessment.</w:t>
      </w:r>
    </w:p>
    <w:p w14:paraId="602EF68E" w14:textId="49B4F8C1" w:rsidR="00F16A64" w:rsidRPr="000A3E9D" w:rsidRDefault="00F16A64" w:rsidP="00F16A64">
      <w:pPr>
        <w:rPr>
          <w:rFonts w:ascii="Times New Roman" w:hAnsi="Times New Roman" w:cs="Times New Roman"/>
          <w:sz w:val="20"/>
          <w:szCs w:val="20"/>
        </w:rPr>
      </w:pPr>
      <w:r w:rsidRPr="000A3E9D">
        <w:rPr>
          <w:rFonts w:ascii="Times New Roman" w:hAnsi="Times New Roman" w:cs="Times New Roman"/>
          <w:sz w:val="20"/>
          <w:szCs w:val="20"/>
        </w:rPr>
        <w:t>The draft plan states that a water advisory committee will be established after the plan is declared “where appropriate”.</w:t>
      </w:r>
    </w:p>
    <w:p w14:paraId="7B2CEA51" w14:textId="77777777" w:rsidR="00F16A64" w:rsidRPr="000A3E9D" w:rsidRDefault="00F16A64" w:rsidP="00F16A64">
      <w:pPr>
        <w:rPr>
          <w:rFonts w:ascii="Times New Roman" w:hAnsi="Times New Roman" w:cs="Times New Roman"/>
          <w:sz w:val="20"/>
          <w:szCs w:val="20"/>
          <w:u w:val="single"/>
        </w:rPr>
      </w:pPr>
      <w:r w:rsidRPr="000A3E9D">
        <w:rPr>
          <w:rFonts w:ascii="Times New Roman" w:hAnsi="Times New Roman" w:cs="Times New Roman"/>
          <w:sz w:val="20"/>
          <w:szCs w:val="20"/>
          <w:u w:val="single"/>
        </w:rPr>
        <w:t>Structure</w:t>
      </w:r>
    </w:p>
    <w:p w14:paraId="251970D1" w14:textId="77777777" w:rsidR="00F16A64" w:rsidRPr="000A3E9D" w:rsidRDefault="00F16A64" w:rsidP="00F16A64">
      <w:pPr>
        <w:rPr>
          <w:rFonts w:ascii="Times New Roman" w:hAnsi="Times New Roman" w:cs="Times New Roman"/>
          <w:sz w:val="20"/>
          <w:szCs w:val="20"/>
        </w:rPr>
      </w:pPr>
      <w:r w:rsidRPr="000A3E9D">
        <w:rPr>
          <w:rFonts w:ascii="Times New Roman" w:hAnsi="Times New Roman" w:cs="Times New Roman"/>
          <w:sz w:val="20"/>
          <w:szCs w:val="20"/>
        </w:rPr>
        <w:t>The NTG has released three documents for consultation, but only one will be gazetted (the plan itself). This is the only document with legal effect. It is very sparse, effectively just allocating water to different beneficial uses.</w:t>
      </w:r>
    </w:p>
    <w:p w14:paraId="6FF1D572" w14:textId="77777777" w:rsidR="00F16A64" w:rsidRPr="000A3E9D" w:rsidRDefault="00F16A64" w:rsidP="00F16A64">
      <w:pPr>
        <w:rPr>
          <w:rFonts w:ascii="Times New Roman" w:hAnsi="Times New Roman" w:cs="Times New Roman"/>
          <w:sz w:val="20"/>
          <w:szCs w:val="20"/>
          <w:u w:val="single"/>
        </w:rPr>
      </w:pPr>
      <w:r w:rsidRPr="000A3E9D">
        <w:rPr>
          <w:rFonts w:ascii="Times New Roman" w:hAnsi="Times New Roman" w:cs="Times New Roman"/>
          <w:sz w:val="20"/>
          <w:szCs w:val="20"/>
          <w:u w:val="single"/>
        </w:rPr>
        <w:t>Estimated sustainable yield</w:t>
      </w:r>
    </w:p>
    <w:p w14:paraId="181E156B" w14:textId="731B0DEB" w:rsidR="00F16A64" w:rsidRPr="000A3E9D" w:rsidRDefault="00F16A64" w:rsidP="00F16A64">
      <w:pPr>
        <w:rPr>
          <w:rFonts w:ascii="Times New Roman" w:hAnsi="Times New Roman" w:cs="Times New Roman"/>
          <w:sz w:val="20"/>
          <w:szCs w:val="20"/>
        </w:rPr>
      </w:pPr>
      <w:r w:rsidRPr="000A3E9D">
        <w:rPr>
          <w:rFonts w:ascii="Times New Roman" w:hAnsi="Times New Roman" w:cs="Times New Roman"/>
          <w:sz w:val="20"/>
          <w:szCs w:val="20"/>
        </w:rPr>
        <w:t>The draft WAP refers to “the Territory’s commitment to the Intergovernmental Agreement on a National Water Initiative 2014, which defines ‘environmentally sustainable level of extraction’ to mean ‘the level of water extraction from a particular system which, if exceeded would compromise key environmental assets, or ecosystem functions and the productive base of the resource’”. However, no information is provided regarding whether key environmental assets, ecosystem functions or the productive base of the resource would be compromised (see further below).</w:t>
      </w:r>
    </w:p>
    <w:p w14:paraId="0AD21917" w14:textId="066FD9C9" w:rsidR="00F16A64" w:rsidRPr="000A3E9D" w:rsidRDefault="00F16A64" w:rsidP="00F16A64">
      <w:pPr>
        <w:rPr>
          <w:rFonts w:ascii="Times New Roman" w:hAnsi="Times New Roman" w:cs="Times New Roman"/>
          <w:sz w:val="20"/>
          <w:szCs w:val="20"/>
        </w:rPr>
      </w:pPr>
      <w:r w:rsidRPr="000A3E9D">
        <w:rPr>
          <w:rFonts w:ascii="Times New Roman" w:hAnsi="Times New Roman" w:cs="Times New Roman"/>
          <w:sz w:val="20"/>
          <w:szCs w:val="20"/>
        </w:rPr>
        <w:t>The ESY for the Georgina Basin is calculated at 40% of recharge (apparently in response to community concerns regarding using the arid zone rules). The basis upon which 40% of recharge is said to be sustainable is not addressed in the plan or other documents. It is double the contingent allocation for the “Top End” in the NT water allocation planning framework. The recharge calculation is problematic for the reasons given below.</w:t>
      </w:r>
    </w:p>
    <w:p w14:paraId="1934C092" w14:textId="77777777" w:rsidR="00F16A64" w:rsidRPr="000A3E9D" w:rsidRDefault="00F16A64" w:rsidP="00F16A64">
      <w:pPr>
        <w:rPr>
          <w:rFonts w:ascii="Times New Roman" w:hAnsi="Times New Roman" w:cs="Times New Roman"/>
          <w:sz w:val="20"/>
          <w:szCs w:val="20"/>
        </w:rPr>
      </w:pPr>
      <w:r w:rsidRPr="000A3E9D">
        <w:rPr>
          <w:rFonts w:ascii="Times New Roman" w:hAnsi="Times New Roman" w:cs="Times New Roman"/>
          <w:sz w:val="20"/>
          <w:szCs w:val="20"/>
        </w:rPr>
        <w:lastRenderedPageBreak/>
        <w:t xml:space="preserve">The ESY is calculated at 243,360ML per annum for the Georgina Basin and 19,200ML per annum for the </w:t>
      </w:r>
      <w:proofErr w:type="spellStart"/>
      <w:r w:rsidRPr="000A3E9D">
        <w:rPr>
          <w:rFonts w:ascii="Times New Roman" w:hAnsi="Times New Roman" w:cs="Times New Roman"/>
          <w:sz w:val="20"/>
          <w:szCs w:val="20"/>
        </w:rPr>
        <w:t>Wiso</w:t>
      </w:r>
      <w:proofErr w:type="spellEnd"/>
      <w:r w:rsidRPr="000A3E9D">
        <w:rPr>
          <w:rFonts w:ascii="Times New Roman" w:hAnsi="Times New Roman" w:cs="Times New Roman"/>
          <w:sz w:val="20"/>
          <w:szCs w:val="20"/>
        </w:rPr>
        <w:t xml:space="preserve"> Basin (total of 262,560ML pa). This is the largest allocation in the Northern Territory’s history. By comparison, the controversial Western Davenport WAP has an ESY of 168.5GL per annum. The Katherine Tindall WAP has an ESY of 38.4GL per annum.</w:t>
      </w:r>
    </w:p>
    <w:p w14:paraId="1493E079" w14:textId="77777777" w:rsidR="00F16A64" w:rsidRPr="000A3E9D" w:rsidRDefault="00F16A64" w:rsidP="00F16A64">
      <w:pPr>
        <w:rPr>
          <w:rFonts w:ascii="Times New Roman" w:hAnsi="Times New Roman" w:cs="Times New Roman"/>
          <w:sz w:val="20"/>
          <w:szCs w:val="20"/>
        </w:rPr>
      </w:pPr>
      <w:r w:rsidRPr="000A3E9D">
        <w:rPr>
          <w:rFonts w:ascii="Times New Roman" w:hAnsi="Times New Roman" w:cs="Times New Roman"/>
          <w:sz w:val="20"/>
          <w:szCs w:val="20"/>
        </w:rPr>
        <w:t>Of this, 10,000ML is allocated for petroleum (fracking), and 205,559ML is allocated for other consumptive industry including agriculture. NT Farmers has indicated publicly that this will be used for broadacre cropping (including cotton). However, the section on water trading makes clear that trading can occur between beneficial uses (with the exception of public water supply), rendering these categories largely nugatory.</w:t>
      </w:r>
    </w:p>
    <w:p w14:paraId="7F6F1DB7" w14:textId="77777777" w:rsidR="00F16A64" w:rsidRPr="000A3E9D" w:rsidRDefault="00F16A64" w:rsidP="00F16A64">
      <w:pPr>
        <w:rPr>
          <w:rFonts w:ascii="Times New Roman" w:hAnsi="Times New Roman" w:cs="Times New Roman"/>
          <w:sz w:val="20"/>
          <w:szCs w:val="20"/>
          <w:u w:val="single"/>
        </w:rPr>
      </w:pPr>
      <w:r w:rsidRPr="000A3E9D">
        <w:rPr>
          <w:rFonts w:ascii="Times New Roman" w:hAnsi="Times New Roman" w:cs="Times New Roman"/>
          <w:sz w:val="20"/>
          <w:szCs w:val="20"/>
          <w:u w:val="single"/>
        </w:rPr>
        <w:t>Calculation of recharge</w:t>
      </w:r>
    </w:p>
    <w:p w14:paraId="30856358" w14:textId="77777777" w:rsidR="00F16A64" w:rsidRPr="000A3E9D" w:rsidRDefault="00F16A64" w:rsidP="00F16A64">
      <w:pPr>
        <w:rPr>
          <w:rFonts w:ascii="Times New Roman" w:hAnsi="Times New Roman" w:cs="Times New Roman"/>
          <w:sz w:val="20"/>
          <w:szCs w:val="20"/>
        </w:rPr>
      </w:pPr>
      <w:r w:rsidRPr="000A3E9D">
        <w:rPr>
          <w:rFonts w:ascii="Times New Roman" w:hAnsi="Times New Roman" w:cs="Times New Roman"/>
          <w:sz w:val="20"/>
          <w:szCs w:val="20"/>
        </w:rPr>
        <w:t>Per the draft plan, the annual recharge for the Georgina Basin appears to be very high, at 608,400ML per annum (note that there is a great deal of uncertainty re the recharge, and Tickell and Brewer estimated it could be as low as 71GL per year in the Georgina Basin). The recharge they have used appears to have been calculated using the average (over X years), rather than the median recharge. However, the recharge for this basin appears to be very low and episodic. There was a very significant recharge event in 1974 of over 20,000GL which has skewed the average. If the median is used instead, the annual recharge is 0.5GL.</w:t>
      </w:r>
    </w:p>
    <w:p w14:paraId="3CB565D1" w14:textId="77777777" w:rsidR="00F16A64" w:rsidRPr="000A3E9D" w:rsidRDefault="00F16A64" w:rsidP="00F16A64">
      <w:pPr>
        <w:rPr>
          <w:rFonts w:ascii="Times New Roman" w:hAnsi="Times New Roman" w:cs="Times New Roman"/>
          <w:sz w:val="20"/>
          <w:szCs w:val="20"/>
        </w:rPr>
      </w:pPr>
      <w:r w:rsidRPr="000A3E9D">
        <w:rPr>
          <w:rFonts w:ascii="Times New Roman" w:hAnsi="Times New Roman" w:cs="Times New Roman"/>
          <w:sz w:val="20"/>
          <w:szCs w:val="20"/>
        </w:rPr>
        <w:t>Per the background report:</w:t>
      </w:r>
    </w:p>
    <w:p w14:paraId="797B3E09" w14:textId="77777777" w:rsidR="00F16A64" w:rsidRPr="000A3E9D" w:rsidRDefault="00F16A64" w:rsidP="00F16A64">
      <w:pPr>
        <w:pStyle w:val="ListParagraph"/>
        <w:keepNext/>
        <w:spacing w:after="120"/>
        <w:rPr>
          <w:rFonts w:ascii="Times New Roman" w:hAnsi="Times New Roman" w:cs="Times New Roman"/>
          <w:sz w:val="20"/>
          <w:szCs w:val="20"/>
        </w:rPr>
      </w:pPr>
      <w:r w:rsidRPr="000A3E9D">
        <w:rPr>
          <w:rFonts w:ascii="Times New Roman" w:hAnsi="Times New Roman" w:cs="Times New Roman"/>
          <w:sz w:val="20"/>
          <w:szCs w:val="20"/>
        </w:rPr>
        <w:t>“</w:t>
      </w:r>
      <w:r w:rsidRPr="000A3E9D">
        <w:rPr>
          <w:rFonts w:ascii="Times New Roman" w:hAnsi="Times New Roman" w:cs="Times New Roman"/>
          <w:b/>
          <w:bCs/>
          <w:sz w:val="20"/>
          <w:szCs w:val="20"/>
        </w:rPr>
        <w:t>Recharge</w:t>
      </w:r>
      <w:r w:rsidRPr="000A3E9D">
        <w:rPr>
          <w:rFonts w:ascii="Times New Roman" w:hAnsi="Times New Roman" w:cs="Times New Roman"/>
          <w:sz w:val="20"/>
          <w:szCs w:val="20"/>
        </w:rPr>
        <w:t xml:space="preserve"> across the plan area varies significantly with precipitation, topography, karstic features, overlying </w:t>
      </w:r>
      <w:proofErr w:type="gramStart"/>
      <w:r w:rsidRPr="000A3E9D">
        <w:rPr>
          <w:rFonts w:ascii="Times New Roman" w:hAnsi="Times New Roman" w:cs="Times New Roman"/>
          <w:sz w:val="20"/>
          <w:szCs w:val="20"/>
        </w:rPr>
        <w:t>rock</w:t>
      </w:r>
      <w:proofErr w:type="gramEnd"/>
      <w:r w:rsidRPr="000A3E9D">
        <w:rPr>
          <w:rFonts w:ascii="Times New Roman" w:hAnsi="Times New Roman" w:cs="Times New Roman"/>
          <w:sz w:val="20"/>
          <w:szCs w:val="20"/>
        </w:rPr>
        <w:t xml:space="preserve"> and sediment formations. </w:t>
      </w:r>
    </w:p>
    <w:p w14:paraId="30D2D99B" w14:textId="4D038F55" w:rsidR="00F16A64" w:rsidRPr="000A3E9D" w:rsidRDefault="00F16A64" w:rsidP="00F16A64">
      <w:pPr>
        <w:keepNext/>
        <w:ind w:left="720"/>
        <w:rPr>
          <w:rFonts w:ascii="Times New Roman" w:hAnsi="Times New Roman" w:cs="Times New Roman"/>
          <w:sz w:val="20"/>
          <w:szCs w:val="20"/>
        </w:rPr>
      </w:pPr>
      <w:r w:rsidRPr="000A3E9D">
        <w:rPr>
          <w:rFonts w:ascii="Times New Roman" w:hAnsi="Times New Roman" w:cs="Times New Roman"/>
          <w:sz w:val="20"/>
          <w:szCs w:val="20"/>
          <w:lang w:eastAsia="en-AU"/>
        </w:rPr>
        <w:t xml:space="preserve">Current estimates of total annual diffuse recharge to the Gum Ridge Formation and Anthony Lagoon Formation in the plan area range from about 71 to 230 GL (Tickell and </w:t>
      </w:r>
      <w:proofErr w:type="spellStart"/>
      <w:r w:rsidRPr="000A3E9D">
        <w:rPr>
          <w:rFonts w:ascii="Times New Roman" w:hAnsi="Times New Roman" w:cs="Times New Roman"/>
          <w:sz w:val="20"/>
          <w:szCs w:val="20"/>
          <w:lang w:eastAsia="en-AU"/>
        </w:rPr>
        <w:t>Bruwer</w:t>
      </w:r>
      <w:proofErr w:type="spellEnd"/>
      <w:r w:rsidRPr="000A3E9D">
        <w:rPr>
          <w:rFonts w:ascii="Times New Roman" w:hAnsi="Times New Roman" w:cs="Times New Roman"/>
          <w:sz w:val="20"/>
          <w:szCs w:val="20"/>
          <w:lang w:eastAsia="en-AU"/>
        </w:rPr>
        <w:t xml:space="preserve"> 2017; Knapton 2020), the proportion received by each aquifer is uncertain. Modelled recharge to these aquifers is estimated in the range of 0 GL/year – 21,280 GL/year, with a median of 0.5 GL/year and average of 608 GL/year</w:t>
      </w:r>
      <w:r w:rsidRPr="000A3E9D">
        <w:rPr>
          <w:rFonts w:ascii="Times New Roman" w:hAnsi="Times New Roman" w:cs="Times New Roman"/>
          <w:sz w:val="20"/>
          <w:szCs w:val="20"/>
        </w:rPr>
        <w:t>.”</w:t>
      </w:r>
    </w:p>
    <w:p w14:paraId="23F2D465" w14:textId="4D3E2A33" w:rsidR="00F16A64" w:rsidRPr="000A3E9D" w:rsidRDefault="00F16A64" w:rsidP="00E72EEC">
      <w:pPr>
        <w:jc w:val="center"/>
        <w:rPr>
          <w:rFonts w:ascii="Times New Roman" w:hAnsi="Times New Roman" w:cs="Times New Roman"/>
          <w:sz w:val="20"/>
          <w:szCs w:val="20"/>
          <w:u w:val="single"/>
        </w:rPr>
      </w:pPr>
      <w:r w:rsidRPr="000A3E9D">
        <w:rPr>
          <w:rFonts w:ascii="Times New Roman" w:hAnsi="Times New Roman" w:cs="Times New Roman"/>
          <w:noProof/>
          <w:sz w:val="20"/>
          <w:szCs w:val="20"/>
        </w:rPr>
        <w:drawing>
          <wp:inline distT="0" distB="0" distL="0" distR="0" wp14:anchorId="274E1FF6" wp14:editId="30C9EAB7">
            <wp:extent cx="3147060" cy="1813560"/>
            <wp:effectExtent l="0" t="0" r="15240" b="152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147060" cy="1813560"/>
                    </a:xfrm>
                    <a:prstGeom prst="rect">
                      <a:avLst/>
                    </a:prstGeom>
                    <a:noFill/>
                    <a:ln>
                      <a:noFill/>
                    </a:ln>
                  </pic:spPr>
                </pic:pic>
              </a:graphicData>
            </a:graphic>
          </wp:inline>
        </w:drawing>
      </w:r>
    </w:p>
    <w:p w14:paraId="30D0B12D" w14:textId="77777777" w:rsidR="00F16A64" w:rsidRPr="000A3E9D" w:rsidRDefault="00F16A64" w:rsidP="00F16A64">
      <w:pPr>
        <w:rPr>
          <w:rFonts w:ascii="Times New Roman" w:hAnsi="Times New Roman" w:cs="Times New Roman"/>
          <w:sz w:val="20"/>
          <w:szCs w:val="20"/>
          <w:u w:val="single"/>
        </w:rPr>
      </w:pPr>
      <w:r w:rsidRPr="000A3E9D">
        <w:rPr>
          <w:rFonts w:ascii="Times New Roman" w:hAnsi="Times New Roman" w:cs="Times New Roman"/>
          <w:sz w:val="20"/>
          <w:szCs w:val="20"/>
          <w:u w:val="single"/>
        </w:rPr>
        <w:t>Water mining</w:t>
      </w:r>
    </w:p>
    <w:p w14:paraId="4FA35019" w14:textId="77777777" w:rsidR="00F16A64" w:rsidRPr="000A3E9D" w:rsidRDefault="00F16A64" w:rsidP="00F16A64">
      <w:pPr>
        <w:rPr>
          <w:rFonts w:ascii="Times New Roman" w:hAnsi="Times New Roman" w:cs="Times New Roman"/>
          <w:sz w:val="20"/>
          <w:szCs w:val="20"/>
        </w:rPr>
      </w:pPr>
      <w:r w:rsidRPr="000A3E9D">
        <w:rPr>
          <w:rFonts w:ascii="Times New Roman" w:hAnsi="Times New Roman" w:cs="Times New Roman"/>
          <w:sz w:val="20"/>
          <w:szCs w:val="20"/>
        </w:rPr>
        <w:t>The starting volume of the Georgina/</w:t>
      </w:r>
      <w:proofErr w:type="spellStart"/>
      <w:r w:rsidRPr="000A3E9D">
        <w:rPr>
          <w:rFonts w:ascii="Times New Roman" w:hAnsi="Times New Roman" w:cs="Times New Roman"/>
          <w:sz w:val="20"/>
          <w:szCs w:val="20"/>
        </w:rPr>
        <w:t>Wiso</w:t>
      </w:r>
      <w:proofErr w:type="spellEnd"/>
      <w:r w:rsidRPr="000A3E9D">
        <w:rPr>
          <w:rFonts w:ascii="Times New Roman" w:hAnsi="Times New Roman" w:cs="Times New Roman"/>
          <w:sz w:val="20"/>
          <w:szCs w:val="20"/>
        </w:rPr>
        <w:t xml:space="preserve"> Basin is 747,605GL. The ESY (262.56GL per year) over 100 years is 26,256GL. Therefore, this rule allows for 3.5% drawdown over 100 years. Even if you </w:t>
      </w:r>
      <w:proofErr w:type="gramStart"/>
      <w:r w:rsidRPr="000A3E9D">
        <w:rPr>
          <w:rFonts w:ascii="Times New Roman" w:hAnsi="Times New Roman" w:cs="Times New Roman"/>
          <w:sz w:val="20"/>
          <w:szCs w:val="20"/>
        </w:rPr>
        <w:t>take into account</w:t>
      </w:r>
      <w:proofErr w:type="gramEnd"/>
      <w:r w:rsidRPr="000A3E9D">
        <w:rPr>
          <w:rFonts w:ascii="Times New Roman" w:hAnsi="Times New Roman" w:cs="Times New Roman"/>
          <w:sz w:val="20"/>
          <w:szCs w:val="20"/>
        </w:rPr>
        <w:t xml:space="preserve"> recharge (median – 0.5GL per year over 100 years), this appears to constitute water mining.</w:t>
      </w:r>
    </w:p>
    <w:p w14:paraId="33D9EBD3" w14:textId="77777777" w:rsidR="00F16A64" w:rsidRPr="000A3E9D" w:rsidRDefault="00F16A64" w:rsidP="00F16A64">
      <w:pPr>
        <w:rPr>
          <w:rFonts w:ascii="Times New Roman" w:hAnsi="Times New Roman" w:cs="Times New Roman"/>
          <w:sz w:val="20"/>
          <w:szCs w:val="20"/>
          <w:u w:val="single"/>
        </w:rPr>
      </w:pPr>
      <w:r w:rsidRPr="000A3E9D">
        <w:rPr>
          <w:rFonts w:ascii="Times New Roman" w:hAnsi="Times New Roman" w:cs="Times New Roman"/>
          <w:sz w:val="20"/>
          <w:szCs w:val="20"/>
          <w:u w:val="single"/>
        </w:rPr>
        <w:t>No management zones</w:t>
      </w:r>
    </w:p>
    <w:p w14:paraId="00767C8C" w14:textId="0D2A764A" w:rsidR="00F16A64" w:rsidRPr="000A3E9D" w:rsidRDefault="00F16A64" w:rsidP="00F16A64">
      <w:pPr>
        <w:rPr>
          <w:rFonts w:ascii="Times New Roman" w:hAnsi="Times New Roman" w:cs="Times New Roman"/>
          <w:sz w:val="20"/>
          <w:szCs w:val="20"/>
        </w:rPr>
      </w:pPr>
      <w:r w:rsidRPr="000A3E9D">
        <w:rPr>
          <w:rFonts w:ascii="Times New Roman" w:hAnsi="Times New Roman" w:cs="Times New Roman"/>
          <w:sz w:val="20"/>
          <w:szCs w:val="20"/>
        </w:rPr>
        <w:t xml:space="preserve">There are only two management zones (Georgina and </w:t>
      </w:r>
      <w:proofErr w:type="spellStart"/>
      <w:r w:rsidRPr="000A3E9D">
        <w:rPr>
          <w:rFonts w:ascii="Times New Roman" w:hAnsi="Times New Roman" w:cs="Times New Roman"/>
          <w:sz w:val="20"/>
          <w:szCs w:val="20"/>
        </w:rPr>
        <w:t>Wiso</w:t>
      </w:r>
      <w:proofErr w:type="spellEnd"/>
      <w:r w:rsidRPr="000A3E9D">
        <w:rPr>
          <w:rFonts w:ascii="Times New Roman" w:hAnsi="Times New Roman" w:cs="Times New Roman"/>
          <w:sz w:val="20"/>
          <w:szCs w:val="20"/>
        </w:rPr>
        <w:t xml:space="preserve"> Basin). This means that the whole yield for the Georgina or </w:t>
      </w:r>
      <w:proofErr w:type="spellStart"/>
      <w:r w:rsidRPr="000A3E9D">
        <w:rPr>
          <w:rFonts w:ascii="Times New Roman" w:hAnsi="Times New Roman" w:cs="Times New Roman"/>
          <w:sz w:val="20"/>
          <w:szCs w:val="20"/>
        </w:rPr>
        <w:t>Wiso</w:t>
      </w:r>
      <w:proofErr w:type="spellEnd"/>
      <w:r w:rsidRPr="000A3E9D">
        <w:rPr>
          <w:rFonts w:ascii="Times New Roman" w:hAnsi="Times New Roman" w:cs="Times New Roman"/>
          <w:sz w:val="20"/>
          <w:szCs w:val="20"/>
        </w:rPr>
        <w:t xml:space="preserve"> could be extracted in one place. This could cause significant localised drawdown and change the groundwater table/gradient and cause the aquifer to flow in a different direction (as per </w:t>
      </w:r>
      <w:hyperlink r:id="rId12" w:history="1">
        <w:r w:rsidR="004B7229" w:rsidRPr="007D04F8">
          <w:rPr>
            <w:rStyle w:val="Hyperlink"/>
            <w:rFonts w:ascii="Times New Roman" w:hAnsi="Times New Roman" w:cs="Times New Roman"/>
            <w:sz w:val="20"/>
            <w:szCs w:val="20"/>
          </w:rPr>
          <w:t>secret memo</w:t>
        </w:r>
      </w:hyperlink>
      <w:r w:rsidR="004B7229">
        <w:rPr>
          <w:rFonts w:ascii="Times New Roman" w:hAnsi="Times New Roman" w:cs="Times New Roman"/>
          <w:sz w:val="20"/>
          <w:szCs w:val="20"/>
        </w:rPr>
        <w:t>)</w:t>
      </w:r>
      <w:r w:rsidR="007D04F8">
        <w:rPr>
          <w:rFonts w:ascii="Times New Roman" w:hAnsi="Times New Roman" w:cs="Times New Roman"/>
          <w:sz w:val="20"/>
          <w:szCs w:val="20"/>
        </w:rPr>
        <w:t>.</w:t>
      </w:r>
    </w:p>
    <w:p w14:paraId="4EFFBAF6" w14:textId="77777777" w:rsidR="00F16A64" w:rsidRPr="000A3E9D" w:rsidRDefault="00F16A64" w:rsidP="00F16A64">
      <w:pPr>
        <w:rPr>
          <w:rFonts w:ascii="Times New Roman" w:hAnsi="Times New Roman" w:cs="Times New Roman"/>
          <w:sz w:val="20"/>
          <w:szCs w:val="20"/>
          <w:u w:val="single"/>
        </w:rPr>
      </w:pPr>
      <w:r w:rsidRPr="000A3E9D">
        <w:rPr>
          <w:rFonts w:ascii="Times New Roman" w:hAnsi="Times New Roman" w:cs="Times New Roman"/>
          <w:sz w:val="20"/>
          <w:szCs w:val="20"/>
          <w:u w:val="single"/>
        </w:rPr>
        <w:t>No cultural or environmental objectives</w:t>
      </w:r>
    </w:p>
    <w:p w14:paraId="760D4C10" w14:textId="77777777" w:rsidR="00F16A64" w:rsidRPr="000A3E9D" w:rsidRDefault="00F16A64" w:rsidP="00F16A64">
      <w:pPr>
        <w:rPr>
          <w:rFonts w:ascii="Times New Roman" w:hAnsi="Times New Roman" w:cs="Times New Roman"/>
          <w:sz w:val="20"/>
          <w:szCs w:val="20"/>
        </w:rPr>
      </w:pPr>
      <w:r w:rsidRPr="000A3E9D">
        <w:rPr>
          <w:rFonts w:ascii="Times New Roman" w:hAnsi="Times New Roman" w:cs="Times New Roman"/>
          <w:sz w:val="20"/>
          <w:szCs w:val="20"/>
        </w:rPr>
        <w:t xml:space="preserve">The plan contains no cultural or environmental objectives. It makes no reference to key dependencies which the community has been concerned about for many years (including Flora and Mataranka spring complexes, and the Roper and Daly Rivers). No scenario modelling is provided to show the impacts of the modelled extraction on key dependencies. No limits of acceptable change have been identified in the plan. It is thus not possible to </w:t>
      </w:r>
      <w:r w:rsidRPr="000A3E9D">
        <w:rPr>
          <w:rFonts w:ascii="Times New Roman" w:hAnsi="Times New Roman" w:cs="Times New Roman"/>
          <w:sz w:val="20"/>
          <w:szCs w:val="20"/>
        </w:rPr>
        <w:lastRenderedPageBreak/>
        <w:t>ascertain from the face of the plan itself whether the proposed yield would compromise key environmental assets.</w:t>
      </w:r>
    </w:p>
    <w:p w14:paraId="6B090B38" w14:textId="77777777" w:rsidR="00F16A64" w:rsidRPr="000A3E9D" w:rsidRDefault="00F16A64" w:rsidP="00F16A64">
      <w:pPr>
        <w:rPr>
          <w:rFonts w:ascii="Times New Roman" w:hAnsi="Times New Roman" w:cs="Times New Roman"/>
          <w:sz w:val="20"/>
          <w:szCs w:val="20"/>
        </w:rPr>
      </w:pPr>
      <w:r w:rsidRPr="000A3E9D">
        <w:rPr>
          <w:rFonts w:ascii="Times New Roman" w:hAnsi="Times New Roman" w:cs="Times New Roman"/>
          <w:sz w:val="20"/>
          <w:szCs w:val="20"/>
        </w:rPr>
        <w:t>The background document states the following under the heading “environmental water”:</w:t>
      </w:r>
    </w:p>
    <w:p w14:paraId="098D93E8" w14:textId="77777777" w:rsidR="00F16A64" w:rsidRPr="000A3E9D" w:rsidRDefault="00F16A64" w:rsidP="00F16A64">
      <w:pPr>
        <w:ind w:left="720"/>
        <w:rPr>
          <w:rFonts w:ascii="Times New Roman" w:hAnsi="Times New Roman" w:cs="Times New Roman"/>
          <w:sz w:val="20"/>
          <w:szCs w:val="20"/>
        </w:rPr>
      </w:pPr>
      <w:r w:rsidRPr="000A3E9D">
        <w:rPr>
          <w:rFonts w:ascii="Times New Roman" w:hAnsi="Times New Roman" w:cs="Times New Roman"/>
          <w:sz w:val="20"/>
          <w:szCs w:val="20"/>
        </w:rPr>
        <w:t>Predominately the groundwater resources in the plan area are greater than 40m below the ground and have limited independency with groundwater dependant ecosystems (GDEs).  Identifying the key environmental values to be maintained and managed through the plan will occur during implementation of the plan.</w:t>
      </w:r>
    </w:p>
    <w:p w14:paraId="380F7DAD" w14:textId="77777777" w:rsidR="00F16A64" w:rsidRPr="000A3E9D" w:rsidRDefault="00F16A64" w:rsidP="00F16A64">
      <w:pPr>
        <w:rPr>
          <w:rFonts w:ascii="Times New Roman" w:hAnsi="Times New Roman" w:cs="Times New Roman"/>
          <w:sz w:val="20"/>
          <w:szCs w:val="20"/>
        </w:rPr>
      </w:pPr>
      <w:r w:rsidRPr="000A3E9D">
        <w:rPr>
          <w:rFonts w:ascii="Times New Roman" w:hAnsi="Times New Roman" w:cs="Times New Roman"/>
          <w:sz w:val="20"/>
          <w:szCs w:val="20"/>
        </w:rPr>
        <w:t>This is very scant and appears to be inconsistent with research regarding connectivity between the Georgina/</w:t>
      </w:r>
      <w:proofErr w:type="spellStart"/>
      <w:r w:rsidRPr="000A3E9D">
        <w:rPr>
          <w:rFonts w:ascii="Times New Roman" w:hAnsi="Times New Roman" w:cs="Times New Roman"/>
          <w:sz w:val="20"/>
          <w:szCs w:val="20"/>
        </w:rPr>
        <w:t>Wiso</w:t>
      </w:r>
      <w:proofErr w:type="spellEnd"/>
      <w:r w:rsidRPr="000A3E9D">
        <w:rPr>
          <w:rFonts w:ascii="Times New Roman" w:hAnsi="Times New Roman" w:cs="Times New Roman"/>
          <w:sz w:val="20"/>
          <w:szCs w:val="20"/>
        </w:rPr>
        <w:t xml:space="preserve"> Basin and the Roper and Flora rivers (and associated spring complexes). In any case, this is not in the plan itself had has no legal effect.</w:t>
      </w:r>
    </w:p>
    <w:p w14:paraId="7146D6C5" w14:textId="77777777" w:rsidR="00F16A64" w:rsidRPr="000A3E9D" w:rsidRDefault="00F16A64" w:rsidP="00F16A64">
      <w:pPr>
        <w:rPr>
          <w:rFonts w:ascii="Times New Roman" w:hAnsi="Times New Roman" w:cs="Times New Roman"/>
          <w:sz w:val="20"/>
          <w:szCs w:val="20"/>
        </w:rPr>
      </w:pPr>
      <w:r w:rsidRPr="000A3E9D">
        <w:rPr>
          <w:rFonts w:ascii="Times New Roman" w:hAnsi="Times New Roman" w:cs="Times New Roman"/>
          <w:sz w:val="20"/>
          <w:szCs w:val="20"/>
        </w:rPr>
        <w:t xml:space="preserve">An Aboriginal reference group is to be established </w:t>
      </w:r>
      <w:r w:rsidRPr="000A3E9D">
        <w:rPr>
          <w:rFonts w:ascii="Times New Roman" w:hAnsi="Times New Roman" w:cs="Times New Roman"/>
          <w:sz w:val="20"/>
          <w:szCs w:val="20"/>
          <w:u w:val="single"/>
        </w:rPr>
        <w:t>after</w:t>
      </w:r>
      <w:r w:rsidRPr="000A3E9D">
        <w:rPr>
          <w:rFonts w:ascii="Times New Roman" w:hAnsi="Times New Roman" w:cs="Times New Roman"/>
          <w:sz w:val="20"/>
          <w:szCs w:val="20"/>
        </w:rPr>
        <w:t xml:space="preserve"> the plan to agree cultural assets.</w:t>
      </w:r>
    </w:p>
    <w:p w14:paraId="2D0E2FBC" w14:textId="77777777" w:rsidR="00F16A64" w:rsidRPr="000A3E9D" w:rsidRDefault="00F16A64" w:rsidP="00F16A64">
      <w:pPr>
        <w:rPr>
          <w:rFonts w:ascii="Times New Roman" w:hAnsi="Times New Roman" w:cs="Times New Roman"/>
          <w:sz w:val="20"/>
          <w:szCs w:val="20"/>
          <w:u w:val="single"/>
        </w:rPr>
      </w:pPr>
      <w:r w:rsidRPr="000A3E9D">
        <w:rPr>
          <w:rFonts w:ascii="Times New Roman" w:hAnsi="Times New Roman" w:cs="Times New Roman"/>
          <w:sz w:val="20"/>
          <w:szCs w:val="20"/>
          <w:u w:val="single"/>
        </w:rPr>
        <w:t>Water trading</w:t>
      </w:r>
    </w:p>
    <w:p w14:paraId="789C51EE" w14:textId="77777777" w:rsidR="00F16A64" w:rsidRPr="000A3E9D" w:rsidRDefault="00F16A64" w:rsidP="00F16A64">
      <w:pPr>
        <w:rPr>
          <w:rFonts w:ascii="Times New Roman" w:hAnsi="Times New Roman" w:cs="Times New Roman"/>
          <w:sz w:val="20"/>
          <w:szCs w:val="20"/>
        </w:rPr>
      </w:pPr>
      <w:r w:rsidRPr="000A3E9D">
        <w:rPr>
          <w:rFonts w:ascii="Times New Roman" w:hAnsi="Times New Roman" w:cs="Times New Roman"/>
          <w:sz w:val="20"/>
          <w:szCs w:val="20"/>
        </w:rPr>
        <w:t>Water trading is permitted within the huge WAP area, which could have significant localised impacts. There is no requirement for water trading to be publicly advertised in the NT. There can also be trades within different beneficial uses (making these categories largely meaningless).</w:t>
      </w:r>
    </w:p>
    <w:p w14:paraId="3B31AD9E" w14:textId="77777777" w:rsidR="00F16A64" w:rsidRPr="000A3E9D" w:rsidRDefault="00F16A64" w:rsidP="00F16A64">
      <w:pPr>
        <w:rPr>
          <w:rFonts w:ascii="Times New Roman" w:hAnsi="Times New Roman" w:cs="Times New Roman"/>
          <w:sz w:val="20"/>
          <w:szCs w:val="20"/>
          <w:u w:val="single"/>
        </w:rPr>
      </w:pPr>
      <w:r w:rsidRPr="000A3E9D">
        <w:rPr>
          <w:rFonts w:ascii="Times New Roman" w:hAnsi="Times New Roman" w:cs="Times New Roman"/>
          <w:sz w:val="20"/>
          <w:szCs w:val="20"/>
          <w:u w:val="single"/>
        </w:rPr>
        <w:t>Scientific studies incomplete</w:t>
      </w:r>
    </w:p>
    <w:p w14:paraId="1A75947C" w14:textId="77777777" w:rsidR="00F16A64" w:rsidRPr="000A3E9D" w:rsidRDefault="00F16A64" w:rsidP="00F16A64">
      <w:pPr>
        <w:rPr>
          <w:rFonts w:ascii="Times New Roman" w:hAnsi="Times New Roman" w:cs="Times New Roman"/>
          <w:sz w:val="20"/>
          <w:szCs w:val="20"/>
        </w:rPr>
      </w:pPr>
      <w:r w:rsidRPr="000A3E9D">
        <w:rPr>
          <w:rFonts w:ascii="Times New Roman" w:hAnsi="Times New Roman" w:cs="Times New Roman"/>
          <w:sz w:val="20"/>
          <w:szCs w:val="20"/>
        </w:rPr>
        <w:t>The background report concedes that scientific baseline studies (recommended by the Scientific Inquiry into Hydraulic Fracturing) are not yet complete:</w:t>
      </w:r>
    </w:p>
    <w:p w14:paraId="1D58649C" w14:textId="77777777" w:rsidR="00F16A64" w:rsidRPr="000A3E9D" w:rsidRDefault="00F16A64" w:rsidP="00F16A64">
      <w:pPr>
        <w:ind w:left="720"/>
        <w:rPr>
          <w:rFonts w:ascii="Times New Roman" w:hAnsi="Times New Roman" w:cs="Times New Roman"/>
          <w:sz w:val="20"/>
          <w:szCs w:val="20"/>
        </w:rPr>
      </w:pPr>
      <w:r w:rsidRPr="000A3E9D">
        <w:rPr>
          <w:rFonts w:ascii="Times New Roman" w:hAnsi="Times New Roman" w:cs="Times New Roman"/>
          <w:sz w:val="20"/>
          <w:szCs w:val="20"/>
        </w:rPr>
        <w:t>The SREBA is expected to be completed by the end of 2022.  The information will be collated and prepared into a final report and database.  Any recommendations from final reports will used to inform the implementation of this plan.</w:t>
      </w:r>
    </w:p>
    <w:p w14:paraId="3BFE38DB" w14:textId="5D9262AF" w:rsidR="00F16A64" w:rsidRPr="000A3E9D" w:rsidRDefault="00F16A64" w:rsidP="00F16A64">
      <w:pPr>
        <w:rPr>
          <w:rFonts w:ascii="Times New Roman" w:hAnsi="Times New Roman" w:cs="Times New Roman"/>
          <w:sz w:val="20"/>
          <w:szCs w:val="20"/>
        </w:rPr>
      </w:pPr>
      <w:r w:rsidRPr="000A3E9D">
        <w:rPr>
          <w:rFonts w:ascii="Times New Roman" w:hAnsi="Times New Roman" w:cs="Times New Roman"/>
          <w:sz w:val="20"/>
          <w:szCs w:val="20"/>
        </w:rPr>
        <w:t>The background report states that the groundwater model will not be completed until 2024.</w:t>
      </w:r>
    </w:p>
    <w:p w14:paraId="06B46BFF" w14:textId="62F3E467" w:rsidR="00E72EEC" w:rsidRPr="000A3E9D" w:rsidRDefault="00E72EEC" w:rsidP="00F16A64">
      <w:pPr>
        <w:rPr>
          <w:rFonts w:ascii="Times New Roman" w:hAnsi="Times New Roman" w:cs="Times New Roman"/>
          <w:sz w:val="20"/>
          <w:szCs w:val="20"/>
        </w:rPr>
      </w:pPr>
      <w:r w:rsidRPr="000A3E9D">
        <w:rPr>
          <w:rFonts w:ascii="Times New Roman" w:hAnsi="Times New Roman" w:cs="Times New Roman"/>
          <w:sz w:val="20"/>
          <w:szCs w:val="20"/>
        </w:rPr>
        <w:t xml:space="preserve">The evidence is clear that this Water Allocation Plan is not backed by science and </w:t>
      </w:r>
      <w:r w:rsidR="006A04C6" w:rsidRPr="000A3E9D">
        <w:rPr>
          <w:rFonts w:ascii="Times New Roman" w:hAnsi="Times New Roman" w:cs="Times New Roman"/>
          <w:sz w:val="20"/>
          <w:szCs w:val="20"/>
        </w:rPr>
        <w:t>should not be declared.</w:t>
      </w:r>
    </w:p>
    <w:p w14:paraId="5BC8AF3F" w14:textId="6EC59586" w:rsidR="00ED61C4" w:rsidRPr="00703A00" w:rsidRDefault="006A04C6" w:rsidP="00F16A64">
      <w:pPr>
        <w:rPr>
          <w:rFonts w:ascii="Times New Roman" w:hAnsi="Times New Roman" w:cs="Times New Roman"/>
          <w:sz w:val="20"/>
          <w:szCs w:val="20"/>
        </w:rPr>
      </w:pPr>
      <w:r w:rsidRPr="00703A00">
        <w:rPr>
          <w:rFonts w:ascii="Times New Roman" w:hAnsi="Times New Roman" w:cs="Times New Roman"/>
          <w:sz w:val="20"/>
          <w:szCs w:val="20"/>
        </w:rPr>
        <w:t>I trust you will make the right decision</w:t>
      </w:r>
      <w:r w:rsidR="00663E29">
        <w:rPr>
          <w:rFonts w:ascii="Times New Roman" w:hAnsi="Times New Roman" w:cs="Times New Roman"/>
          <w:sz w:val="20"/>
          <w:szCs w:val="20"/>
        </w:rPr>
        <w:t>, p</w:t>
      </w:r>
      <w:r w:rsidR="00ED61C4" w:rsidRPr="00703A00">
        <w:rPr>
          <w:rFonts w:ascii="Times New Roman" w:hAnsi="Times New Roman" w:cs="Times New Roman"/>
          <w:sz w:val="20"/>
          <w:szCs w:val="20"/>
        </w:rPr>
        <w:t>lease delay the declaration of the Beetaloo WAP.</w:t>
      </w:r>
    </w:p>
    <w:p w14:paraId="62EC09CF" w14:textId="77777777" w:rsidR="00663E29" w:rsidRDefault="00663E29" w:rsidP="00F16A64">
      <w:pPr>
        <w:rPr>
          <w:rFonts w:ascii="Times New Roman" w:hAnsi="Times New Roman" w:cs="Times New Roman"/>
          <w:sz w:val="20"/>
          <w:szCs w:val="20"/>
        </w:rPr>
      </w:pPr>
    </w:p>
    <w:p w14:paraId="544ED6FD" w14:textId="2D063A01" w:rsidR="006A04C6" w:rsidRPr="00703A00" w:rsidRDefault="006A04C6" w:rsidP="00F16A64">
      <w:pPr>
        <w:rPr>
          <w:rFonts w:ascii="Times New Roman" w:hAnsi="Times New Roman" w:cs="Times New Roman"/>
          <w:sz w:val="20"/>
          <w:szCs w:val="20"/>
        </w:rPr>
      </w:pPr>
      <w:r w:rsidRPr="00703A00">
        <w:rPr>
          <w:rFonts w:ascii="Times New Roman" w:hAnsi="Times New Roman" w:cs="Times New Roman"/>
          <w:sz w:val="20"/>
          <w:szCs w:val="20"/>
        </w:rPr>
        <w:t>Regards</w:t>
      </w:r>
    </w:p>
    <w:p w14:paraId="739D8038" w14:textId="77777777" w:rsidR="00DA22F9" w:rsidRPr="000A3E9D" w:rsidRDefault="00DA22F9" w:rsidP="00F16A64">
      <w:pPr>
        <w:rPr>
          <w:rFonts w:ascii="Times New Roman" w:hAnsi="Times New Roman" w:cs="Times New Roman"/>
          <w:b/>
          <w:bCs/>
          <w:sz w:val="20"/>
          <w:szCs w:val="20"/>
        </w:rPr>
      </w:pPr>
    </w:p>
    <w:p w14:paraId="3A2B5D8D" w14:textId="77777777" w:rsidR="00DA22F9" w:rsidRPr="00036CD2" w:rsidRDefault="00DA22F9" w:rsidP="00F222D6">
      <w:pPr>
        <w:pStyle w:val="ListParagraph"/>
        <w:rPr>
          <w:rFonts w:ascii="Times New Roman" w:hAnsi="Times New Roman" w:cs="Times New Roman"/>
          <w:b/>
          <w:bCs/>
          <w:sz w:val="20"/>
          <w:szCs w:val="20"/>
        </w:rPr>
      </w:pPr>
    </w:p>
    <w:p w14:paraId="3EB7D57C" w14:textId="77777777" w:rsidR="00F16A64" w:rsidRPr="00036CD2" w:rsidRDefault="00F16A64" w:rsidP="00F16A64">
      <w:pPr>
        <w:rPr>
          <w:rFonts w:ascii="Times New Roman" w:hAnsi="Times New Roman" w:cs="Times New Roman"/>
          <w:sz w:val="20"/>
          <w:szCs w:val="20"/>
        </w:rPr>
      </w:pPr>
    </w:p>
    <w:p w14:paraId="1100A230" w14:textId="77777777" w:rsidR="00C330F1" w:rsidRPr="00036CD2" w:rsidRDefault="00C330F1">
      <w:pPr>
        <w:rPr>
          <w:rFonts w:ascii="Times New Roman" w:hAnsi="Times New Roman" w:cs="Times New Roman"/>
          <w:b/>
          <w:bCs/>
        </w:rPr>
      </w:pPr>
    </w:p>
    <w:sectPr w:rsidR="00C330F1" w:rsidRPr="00036CD2" w:rsidSect="006F35D3">
      <w:footerReference w:type="default" r:id="rId1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35CD7" w14:textId="77777777" w:rsidR="00054105" w:rsidRDefault="00054105" w:rsidP="00C330F1">
      <w:pPr>
        <w:spacing w:after="0" w:line="240" w:lineRule="auto"/>
      </w:pPr>
      <w:r>
        <w:separator/>
      </w:r>
    </w:p>
  </w:endnote>
  <w:endnote w:type="continuationSeparator" w:id="0">
    <w:p w14:paraId="3FD59377" w14:textId="77777777" w:rsidR="00054105" w:rsidRDefault="00054105" w:rsidP="00C33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5FA0D" w14:textId="4F087D68" w:rsidR="00BA69A9" w:rsidRDefault="00BA69A9" w:rsidP="00BA69A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DF5B2" w14:textId="77777777" w:rsidR="00054105" w:rsidRDefault="00054105" w:rsidP="00C330F1">
      <w:pPr>
        <w:spacing w:after="0" w:line="240" w:lineRule="auto"/>
      </w:pPr>
      <w:r>
        <w:separator/>
      </w:r>
    </w:p>
  </w:footnote>
  <w:footnote w:type="continuationSeparator" w:id="0">
    <w:p w14:paraId="12873699" w14:textId="77777777" w:rsidR="00054105" w:rsidRDefault="00054105" w:rsidP="00C330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6313D7"/>
    <w:multiLevelType w:val="hybridMultilevel"/>
    <w:tmpl w:val="29E6B1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233300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0F1"/>
    <w:rsid w:val="00011752"/>
    <w:rsid w:val="00036CD2"/>
    <w:rsid w:val="00054105"/>
    <w:rsid w:val="000A3E9D"/>
    <w:rsid w:val="00161295"/>
    <w:rsid w:val="00203AAA"/>
    <w:rsid w:val="004B7229"/>
    <w:rsid w:val="004D357F"/>
    <w:rsid w:val="005A6D1D"/>
    <w:rsid w:val="00663E29"/>
    <w:rsid w:val="00695AC4"/>
    <w:rsid w:val="006A04C6"/>
    <w:rsid w:val="006F35D3"/>
    <w:rsid w:val="00703A00"/>
    <w:rsid w:val="00752CCD"/>
    <w:rsid w:val="007534DB"/>
    <w:rsid w:val="00754B98"/>
    <w:rsid w:val="0076674E"/>
    <w:rsid w:val="00784305"/>
    <w:rsid w:val="007A26F0"/>
    <w:rsid w:val="007D04F8"/>
    <w:rsid w:val="008400EF"/>
    <w:rsid w:val="00A21762"/>
    <w:rsid w:val="00AD5FD0"/>
    <w:rsid w:val="00B3145A"/>
    <w:rsid w:val="00B649EF"/>
    <w:rsid w:val="00BA69A9"/>
    <w:rsid w:val="00BB152E"/>
    <w:rsid w:val="00BC5436"/>
    <w:rsid w:val="00BF46DF"/>
    <w:rsid w:val="00C330F1"/>
    <w:rsid w:val="00CC3D95"/>
    <w:rsid w:val="00CD1E33"/>
    <w:rsid w:val="00D17909"/>
    <w:rsid w:val="00D965FC"/>
    <w:rsid w:val="00DA22F9"/>
    <w:rsid w:val="00DB1689"/>
    <w:rsid w:val="00E72EEC"/>
    <w:rsid w:val="00ED61C4"/>
    <w:rsid w:val="00F16A64"/>
    <w:rsid w:val="00F222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0324F0"/>
  <w15:chartTrackingRefBased/>
  <w15:docId w15:val="{D5CAE944-1E08-4594-9A25-F972E3DBD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30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30F1"/>
  </w:style>
  <w:style w:type="paragraph" w:styleId="Footer">
    <w:name w:val="footer"/>
    <w:basedOn w:val="Normal"/>
    <w:link w:val="FooterChar"/>
    <w:uiPriority w:val="99"/>
    <w:unhideWhenUsed/>
    <w:rsid w:val="00C330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30F1"/>
  </w:style>
  <w:style w:type="paragraph" w:styleId="NormalWeb">
    <w:name w:val="Normal (Web)"/>
    <w:basedOn w:val="Normal"/>
    <w:uiPriority w:val="99"/>
    <w:semiHidden/>
    <w:unhideWhenUsed/>
    <w:rsid w:val="00C330F1"/>
    <w:pPr>
      <w:spacing w:before="100" w:beforeAutospacing="1" w:after="100" w:afterAutospacing="1" w:line="240" w:lineRule="auto"/>
    </w:pPr>
    <w:rPr>
      <w:rFonts w:ascii="Calibri" w:hAnsi="Calibri" w:cs="Calibri"/>
      <w:lang w:eastAsia="en-AU"/>
    </w:rPr>
  </w:style>
  <w:style w:type="character" w:styleId="Strong">
    <w:name w:val="Strong"/>
    <w:basedOn w:val="DefaultParagraphFont"/>
    <w:uiPriority w:val="22"/>
    <w:qFormat/>
    <w:rsid w:val="00C330F1"/>
    <w:rPr>
      <w:b/>
      <w:bCs/>
    </w:rPr>
  </w:style>
  <w:style w:type="character" w:customStyle="1" w:styleId="ListParagraphChar">
    <w:name w:val="List Paragraph Char"/>
    <w:aliases w:val="List Paragraph1 Char,Recommendation Char,List Paragraph11 Char,List Paragraph111 Char,L Char,F5 List Paragraph Char,Dot pt Char,CV text Char,Table text Char,Medium Grid 1 - Accent 21 Char,Numbered Paragraph Char,List Paragraph2 Char"/>
    <w:basedOn w:val="DefaultParagraphFont"/>
    <w:link w:val="ListParagraph"/>
    <w:uiPriority w:val="34"/>
    <w:locked/>
    <w:rsid w:val="00F16A64"/>
  </w:style>
  <w:style w:type="paragraph" w:styleId="ListParagraph">
    <w:name w:val="List Paragraph"/>
    <w:aliases w:val="List Paragraph1,Recommendation,List Paragraph11,List Paragraph111,L,F5 List Paragraph,Dot pt,CV text,Table text,Medium Grid 1 - Accent 21,Numbered Paragraph,List Paragraph2,NFP GP Bulleted List,FooterText,numbered,Paragraphe de liste1,列出段"/>
    <w:basedOn w:val="Normal"/>
    <w:link w:val="ListParagraphChar"/>
    <w:uiPriority w:val="34"/>
    <w:qFormat/>
    <w:rsid w:val="00F16A64"/>
    <w:pPr>
      <w:spacing w:after="0" w:line="240" w:lineRule="auto"/>
      <w:ind w:left="720"/>
    </w:pPr>
  </w:style>
  <w:style w:type="character" w:styleId="Hyperlink">
    <w:name w:val="Hyperlink"/>
    <w:basedOn w:val="DefaultParagraphFont"/>
    <w:uiPriority w:val="99"/>
    <w:unhideWhenUsed/>
    <w:rsid w:val="00B3145A"/>
    <w:rPr>
      <w:color w:val="0000FF"/>
      <w:u w:val="single"/>
    </w:rPr>
  </w:style>
  <w:style w:type="character" w:customStyle="1" w:styleId="sr-only">
    <w:name w:val="sr-only"/>
    <w:basedOn w:val="DefaultParagraphFont"/>
    <w:rsid w:val="00B3145A"/>
  </w:style>
  <w:style w:type="character" w:styleId="UnresolvedMention">
    <w:name w:val="Unresolved Mention"/>
    <w:basedOn w:val="DefaultParagraphFont"/>
    <w:uiPriority w:val="99"/>
    <w:semiHidden/>
    <w:unhideWhenUsed/>
    <w:rsid w:val="00B314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489851">
      <w:bodyDiv w:val="1"/>
      <w:marLeft w:val="0"/>
      <w:marRight w:val="0"/>
      <w:marTop w:val="0"/>
      <w:marBottom w:val="0"/>
      <w:divBdr>
        <w:top w:val="none" w:sz="0" w:space="0" w:color="auto"/>
        <w:left w:val="none" w:sz="0" w:space="0" w:color="auto"/>
        <w:bottom w:val="none" w:sz="0" w:space="0" w:color="auto"/>
        <w:right w:val="none" w:sz="0" w:space="0" w:color="auto"/>
      </w:divBdr>
    </w:div>
    <w:div w:id="1784105239">
      <w:bodyDiv w:val="1"/>
      <w:marLeft w:val="0"/>
      <w:marRight w:val="0"/>
      <w:marTop w:val="0"/>
      <w:marBottom w:val="0"/>
      <w:divBdr>
        <w:top w:val="none" w:sz="0" w:space="0" w:color="auto"/>
        <w:left w:val="none" w:sz="0" w:space="0" w:color="auto"/>
        <w:bottom w:val="none" w:sz="0" w:space="0" w:color="auto"/>
        <w:right w:val="none" w:sz="0" w:space="0" w:color="auto"/>
      </w:divBdr>
    </w:div>
    <w:div w:id="181675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cnt.org.au/secret_nt_government_mem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2.png@01D8FD32.53389980"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8D84AFB2A6A84DAFAE456107C0CF40" ma:contentTypeVersion="16" ma:contentTypeDescription="Create a new document." ma:contentTypeScope="" ma:versionID="6bbad925baf4da6cd42653bd0aee0ae6">
  <xsd:schema xmlns:xsd="http://www.w3.org/2001/XMLSchema" xmlns:xs="http://www.w3.org/2001/XMLSchema" xmlns:p="http://schemas.microsoft.com/office/2006/metadata/properties" xmlns:ns2="24421ba1-9699-4e99-8888-387e7fac91a6" xmlns:ns3="73e78bc4-c86e-42ac-97a5-70e452795e9e" targetNamespace="http://schemas.microsoft.com/office/2006/metadata/properties" ma:root="true" ma:fieldsID="c65ef373a130ef4844268d728fa8d952" ns2:_="" ns3:_="">
    <xsd:import namespace="24421ba1-9699-4e99-8888-387e7fac91a6"/>
    <xsd:import namespace="73e78bc4-c86e-42ac-97a5-70e452795e9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421ba1-9699-4e99-8888-387e7fac91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3ee7c38-16bf-4db6-adf8-fb7b9e29c3a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e78bc4-c86e-42ac-97a5-70e452795e9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13c93c8-2c36-425d-9c30-0cae9bbed73d}" ma:internalName="TaxCatchAll" ma:showField="CatchAllData" ma:web="73e78bc4-c86e-42ac-97a5-70e452795e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4421ba1-9699-4e99-8888-387e7fac91a6">
      <Terms xmlns="http://schemas.microsoft.com/office/infopath/2007/PartnerControls"/>
    </lcf76f155ced4ddcb4097134ff3c332f>
    <TaxCatchAll xmlns="73e78bc4-c86e-42ac-97a5-70e452795e9e" xsi:nil="true"/>
  </documentManagement>
</p:properties>
</file>

<file path=customXml/itemProps1.xml><?xml version="1.0" encoding="utf-8"?>
<ds:datastoreItem xmlns:ds="http://schemas.openxmlformats.org/officeDocument/2006/customXml" ds:itemID="{E0410C6A-0298-4E40-8F87-0835AE29F4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421ba1-9699-4e99-8888-387e7fac91a6"/>
    <ds:schemaRef ds:uri="73e78bc4-c86e-42ac-97a5-70e452795e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7DAD59-E71D-45DE-B905-2CD50CE44D4A}">
  <ds:schemaRefs>
    <ds:schemaRef ds:uri="http://schemas.microsoft.com/sharepoint/v3/contenttype/forms"/>
  </ds:schemaRefs>
</ds:datastoreItem>
</file>

<file path=customXml/itemProps3.xml><?xml version="1.0" encoding="utf-8"?>
<ds:datastoreItem xmlns:ds="http://schemas.openxmlformats.org/officeDocument/2006/customXml" ds:itemID="{B6233F71-223E-40C9-83F4-AFF1C66CC933}">
  <ds:schemaRefs>
    <ds:schemaRef ds:uri="http://schemas.microsoft.com/office/2006/metadata/properties"/>
    <ds:schemaRef ds:uri="http://schemas.microsoft.com/office/infopath/2007/PartnerControls"/>
    <ds:schemaRef ds:uri="24421ba1-9699-4e99-8888-387e7fac91a6"/>
    <ds:schemaRef ds:uri="73e78bc4-c86e-42ac-97a5-70e452795e9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1123</Words>
  <Characters>6403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Black</dc:creator>
  <cp:keywords/>
  <dc:description/>
  <cp:lastModifiedBy>Jessica Black</cp:lastModifiedBy>
  <cp:revision>2</cp:revision>
  <cp:lastPrinted>2022-12-03T23:45:00Z</cp:lastPrinted>
  <dcterms:created xsi:type="dcterms:W3CDTF">2022-12-05T04:07:00Z</dcterms:created>
  <dcterms:modified xsi:type="dcterms:W3CDTF">2022-12-05T04:07:00Z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0x010100118D84AFB2A6A84DAFAE456107C0CF40</vt:lpwstr>
  </property>
</Properties>
</file>