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705352" cy="1066800"/>
            <wp:effectExtent b="0" l="0" r="0" t="0"/>
            <wp:docPr id="752274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2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0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u w:val="single"/>
          <w:rtl w:val="0"/>
        </w:rPr>
        <w:t xml:space="preserve">Leadership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  <w:t xml:space="preserve">January 20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4578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Zoom Link (Full Information in Calendar Invite):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4578"/>
          <w:sz w:val="21"/>
          <w:szCs w:val="21"/>
          <w:highlight w:val="white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https://us02web.zoom.us/j/86097728674?pwd=Rng1N29CbzNGdTUyaE1lZVo1d2F5UT09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Updates from Committee Members - </w:t>
      </w:r>
      <w:r w:rsidDel="00000000" w:rsidR="00000000" w:rsidRPr="00000000">
        <w:rPr>
          <w:i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everyone to the call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Updates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Reflective Activity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Tabitha Blackwell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Rose, Thorn, Bud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after="0" w:lineRule="auto"/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Rose: How has philanthropy helped to advance the movement?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lineRule="auto"/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Thorn: What could philanthropy have been done differently?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pacing w:after="0" w:lineRule="auto"/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Bud: What are some areas of opportunity for funders to advance or refocus the movement?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 Discussion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Conversations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Steps and Upcoming Meetings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rtl w:val="0"/>
        </w:rPr>
        <w:t xml:space="preserve">15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Reminder of upcoming FTEH programming: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Leveraging Cash Transfers and Guaranteed Income to Support People Experiencing Homelessness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Youth Homelessness Prevention Learning &amp; Action Series Kickoff for Philanthropy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 Call focus: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980" w:firstLine="0"/>
        <w:rPr>
          <w:rFonts w:ascii="Calibri" w:cs="Calibri" w:eastAsia="Calibri" w:hAnsi="Calibri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understogether.org/youth_homelessness_prevention_learning_action_series_kickoff_for_philanthropy" TargetMode="External"/><Relationship Id="rId10" Type="http://schemas.openxmlformats.org/officeDocument/2006/relationships/hyperlink" Target="https://www.funderstogether.org/webinar_cash_transfers_and_guaranteed_income" TargetMode="External"/><Relationship Id="rId9" Type="http://schemas.openxmlformats.org/officeDocument/2006/relationships/hyperlink" Target="https://jamboard.google.com/d/1VMi6MyKRMJAyZ3Z6-uZQ4mga3LsBOkN8B503Th39qH8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6097728674?pwd=Rng1N29CbzNGdTUyaE1lZVo1d2F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ZqCziYD+/XGWE2qa5wIg0xjUg==">AMUW2mUPlZkyZ+ZTJcufF7emvtL1pJZnKccOUTDgfqRgPmp+736q+d/EvVMSfEMW9hEQQkpaUEoLUSgFeknEKmBIy0kRWp8J0smwGcg9Xl2DvCAB4My7JFc=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2020-09-25T15:46:19Z</dcterms:created>
  <dc:creator>Tabitha Blackwell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0x010100A6D4D4D76D675E4FB33EBDD78C999722</vt:lpwstr>
  </property>
</Properties>
</file>