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020D" w14:textId="6B311EED" w:rsidR="00EA1ADD" w:rsidRPr="00F55AA5" w:rsidRDefault="009F5558">
      <w:pPr>
        <w:rPr>
          <w:b/>
          <w:sz w:val="32"/>
        </w:rPr>
      </w:pPr>
      <w:proofErr w:type="gramStart"/>
      <w:r w:rsidRPr="00F55AA5">
        <w:rPr>
          <w:b/>
          <w:sz w:val="32"/>
        </w:rPr>
        <w:t xml:space="preserve">Constituency Profile </w:t>
      </w:r>
      <w:r w:rsidR="00A8096A" w:rsidRPr="00F55AA5">
        <w:rPr>
          <w:b/>
          <w:sz w:val="32"/>
        </w:rPr>
        <w:t xml:space="preserve">  North East Somerset.</w:t>
      </w:r>
      <w:proofErr w:type="gramEnd"/>
    </w:p>
    <w:p w14:paraId="48279745" w14:textId="77777777" w:rsidR="009F5558" w:rsidRDefault="009F5558"/>
    <w:p w14:paraId="71669E94" w14:textId="55826B24" w:rsidR="00A8096A" w:rsidRDefault="00A8096A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9A3B3AC" wp14:editId="596DFA88">
            <wp:extent cx="3390900" cy="2260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C5D09" w14:textId="77777777" w:rsidR="00A8096A" w:rsidRDefault="00A8096A"/>
    <w:p w14:paraId="53704EE0" w14:textId="7D57EF7E" w:rsidR="009544A3" w:rsidRDefault="009544A3">
      <w:pPr>
        <w:rPr>
          <w:b/>
        </w:rPr>
      </w:pPr>
      <w:r>
        <w:rPr>
          <w:b/>
        </w:rPr>
        <w:t>1. Introduction</w:t>
      </w:r>
    </w:p>
    <w:p w14:paraId="318BC277" w14:textId="77777777" w:rsidR="009544A3" w:rsidRDefault="009544A3"/>
    <w:p w14:paraId="7C0A14AF" w14:textId="10333F80" w:rsidR="00A8096A" w:rsidRDefault="00A8096A">
      <w:r>
        <w:t>With a strong and growing Liberal Democrat local government base, North East Somerset is looking for a committed Prospective Parliamentary Candidate</w:t>
      </w:r>
      <w:r w:rsidR="00AF6786">
        <w:t>.   The challenge is to defeat</w:t>
      </w:r>
      <w:r w:rsidR="00433796">
        <w:t xml:space="preserve"> the prominent current MP Jacob Rees-Mogg</w:t>
      </w:r>
      <w:r w:rsidR="00AF6786">
        <w:t xml:space="preserve">.   This is a great opportunity for </w:t>
      </w:r>
      <w:r w:rsidR="00433796">
        <w:t>an inspiring team leader and campaigner to work with our enthusiastic local membership</w:t>
      </w:r>
      <w:r w:rsidR="00AF6786">
        <w:t>, staff, councillors</w:t>
      </w:r>
      <w:r w:rsidR="00433796">
        <w:t xml:space="preserve"> and volunteers.</w:t>
      </w:r>
    </w:p>
    <w:p w14:paraId="04CA0D6A" w14:textId="77777777" w:rsidR="009F5558" w:rsidRDefault="009F5558"/>
    <w:p w14:paraId="33FA7E75" w14:textId="67C20E6A" w:rsidR="009F5558" w:rsidRDefault="00EF372A">
      <w:r>
        <w:t xml:space="preserve">The </w:t>
      </w:r>
      <w:r w:rsidR="00A8096A">
        <w:t xml:space="preserve">constituency includes three </w:t>
      </w:r>
      <w:r>
        <w:t>main t</w:t>
      </w:r>
      <w:r w:rsidR="009F5558">
        <w:t>owns</w:t>
      </w:r>
      <w:r w:rsidR="00A8096A">
        <w:t xml:space="preserve"> </w:t>
      </w:r>
      <w:r w:rsidR="000B2B12">
        <w:t>Keynsham  (estimated population 16,000</w:t>
      </w:r>
      <w:r w:rsidR="00433796">
        <w:t>) Midsomer</w:t>
      </w:r>
      <w:r w:rsidR="00CA6145">
        <w:t xml:space="preserve"> Norton</w:t>
      </w:r>
      <w:r w:rsidR="000B2B12">
        <w:t xml:space="preserve"> </w:t>
      </w:r>
      <w:r w:rsidR="00433796">
        <w:t>(13,000</w:t>
      </w:r>
      <w:r w:rsidR="000B2B12">
        <w:t>)</w:t>
      </w:r>
      <w:r w:rsidR="00CA6145">
        <w:t xml:space="preserve"> and Radstock </w:t>
      </w:r>
      <w:r w:rsidR="000B2B12">
        <w:t>(10,000)</w:t>
      </w:r>
      <w:r w:rsidR="00F55AA5">
        <w:t xml:space="preserve">.  </w:t>
      </w:r>
      <w:r w:rsidR="00EE7ADC">
        <w:t xml:space="preserve">There are 65 villages listed in the constituency of varying sizes.  The full list is available here.  </w:t>
      </w:r>
      <w:r w:rsidR="009544A3" w:rsidRPr="00433796">
        <w:rPr>
          <w:highlight w:val="yellow"/>
        </w:rPr>
        <w:t>https://en.wikipedia.org/wiki/North_East_Somerset_(UK_Parliament_constituency)</w:t>
      </w:r>
    </w:p>
    <w:p w14:paraId="2BD21995" w14:textId="5CD57B8A" w:rsidR="009F5558" w:rsidRDefault="00EF372A">
      <w:r>
        <w:t>The area is s</w:t>
      </w:r>
      <w:r w:rsidR="009F5558">
        <w:t>emi-rural/ semi urban on the edge of Bristol and Bath.</w:t>
      </w:r>
      <w:r>
        <w:t xml:space="preserve">  </w:t>
      </w:r>
    </w:p>
    <w:p w14:paraId="362C431E" w14:textId="56EE514C" w:rsidR="009F5558" w:rsidRDefault="00E930F0">
      <w:r>
        <w:t xml:space="preserve">In </w:t>
      </w:r>
      <w:r w:rsidR="00EA31E1">
        <w:t>2019</w:t>
      </w:r>
      <w:r>
        <w:t xml:space="preserve"> at the last General Election the electorate was 73,692.</w:t>
      </w:r>
    </w:p>
    <w:p w14:paraId="7A4A8DF5" w14:textId="77777777" w:rsidR="00810B95" w:rsidRDefault="00810B95"/>
    <w:p w14:paraId="4914FBE1" w14:textId="586D37DE" w:rsidR="00192EFF" w:rsidRDefault="00F55AA5">
      <w:r>
        <w:t>The constituency is part of Bath and North East Somerset council,</w:t>
      </w:r>
      <w:r w:rsidR="00192EFF">
        <w:t xml:space="preserve"> a </w:t>
      </w:r>
      <w:r w:rsidR="009544A3">
        <w:t>unitary</w:t>
      </w:r>
      <w:r w:rsidR="00192EFF">
        <w:t xml:space="preserve"> authority</w:t>
      </w:r>
      <w:r>
        <w:t xml:space="preserve"> run by the Liberal Democrats</w:t>
      </w:r>
      <w:r w:rsidR="00192EFF">
        <w:t xml:space="preserve">. </w:t>
      </w:r>
      <w:r w:rsidR="00E930F0">
        <w:t xml:space="preserve">The </w:t>
      </w:r>
      <w:r w:rsidR="00192EFF">
        <w:t xml:space="preserve">West of England Combined Authority </w:t>
      </w:r>
      <w:r w:rsidR="00E930F0">
        <w:t>(</w:t>
      </w:r>
      <w:r w:rsidR="00BA0BF0">
        <w:t xml:space="preserve">WECA) </w:t>
      </w:r>
      <w:r w:rsidR="00192EFF">
        <w:t xml:space="preserve">has responsibility for strategic decision on transport, housing, business, jobs and the economy.  </w:t>
      </w:r>
      <w:r w:rsidR="00BA0BF0">
        <w:t xml:space="preserve">  WECA includes Bristol, Bath and NE Somerset and South Gloucestershire.</w:t>
      </w:r>
    </w:p>
    <w:p w14:paraId="48119BA6" w14:textId="41684A4E" w:rsidR="00BA0BF0" w:rsidRDefault="00BA0BF0">
      <w:r>
        <w:t xml:space="preserve">There are </w:t>
      </w:r>
      <w:r w:rsidR="00AF6786">
        <w:t xml:space="preserve">also </w:t>
      </w:r>
      <w:r>
        <w:t>parish and town councils covering many of the villages and towns in NE Somerset.</w:t>
      </w:r>
    </w:p>
    <w:p w14:paraId="68E8B2CD" w14:textId="77777777" w:rsidR="00034EEB" w:rsidRDefault="00034EEB"/>
    <w:p w14:paraId="42204035" w14:textId="0F7AB505" w:rsidR="00034EEB" w:rsidRDefault="00034EEB">
      <w:r>
        <w:t>Proposals by the Boundary Commission include a new constituency of Keynsham an</w:t>
      </w:r>
      <w:r w:rsidR="009544A3">
        <w:t xml:space="preserve">d NE Somerset.  Details of the </w:t>
      </w:r>
      <w:r>
        <w:t>proposal</w:t>
      </w:r>
      <w:r w:rsidR="009544A3">
        <w:t>s</w:t>
      </w:r>
      <w:r>
        <w:t xml:space="preserve"> are at the end of this profile.  The majority of the wards will be in the existing NE Somerset seat </w:t>
      </w:r>
      <w:r w:rsidR="009544A3">
        <w:t>so it is likely that the candidate for NE Somerset will become the PPC for the new boundaries.</w:t>
      </w:r>
    </w:p>
    <w:p w14:paraId="08787E26" w14:textId="77777777" w:rsidR="00192EFF" w:rsidRDefault="00192EFF"/>
    <w:p w14:paraId="379B0D60" w14:textId="5B6F506C" w:rsidR="00EA31E1" w:rsidRPr="00E930F0" w:rsidRDefault="007E3B72" w:rsidP="00EA31E1">
      <w:pPr>
        <w:shd w:val="clear" w:color="auto" w:fill="FFFFFF"/>
        <w:outlineLvl w:val="1"/>
        <w:rPr>
          <w:rFonts w:ascii="Arial" w:eastAsia="Times New Roman" w:hAnsi="Arial" w:cs="Arial"/>
          <w:b/>
          <w:color w:val="373151"/>
          <w:szCs w:val="36"/>
        </w:rPr>
      </w:pPr>
      <w:r>
        <w:rPr>
          <w:rFonts w:ascii="Arial" w:eastAsia="Times New Roman" w:hAnsi="Arial" w:cs="Arial"/>
          <w:b/>
          <w:color w:val="373151"/>
          <w:szCs w:val="36"/>
        </w:rPr>
        <w:t xml:space="preserve">2. </w:t>
      </w:r>
      <w:r w:rsidR="00F55AA5" w:rsidRPr="00E930F0">
        <w:rPr>
          <w:rFonts w:ascii="Arial" w:eastAsia="Times New Roman" w:hAnsi="Arial" w:cs="Arial"/>
          <w:b/>
          <w:color w:val="373151"/>
          <w:szCs w:val="36"/>
        </w:rPr>
        <w:t xml:space="preserve">Election Results  </w:t>
      </w:r>
    </w:p>
    <w:p w14:paraId="3C0F9F8B" w14:textId="41A168D6" w:rsidR="00F55AA5" w:rsidRDefault="00E930F0" w:rsidP="00EA31E1">
      <w:pPr>
        <w:shd w:val="clear" w:color="auto" w:fill="FFFFFF"/>
        <w:outlineLvl w:val="1"/>
        <w:rPr>
          <w:rFonts w:ascii="Arial" w:eastAsia="Times New Roman" w:hAnsi="Arial" w:cs="Arial"/>
          <w:color w:val="373151"/>
          <w:szCs w:val="36"/>
        </w:rPr>
      </w:pPr>
      <w:r>
        <w:rPr>
          <w:rFonts w:ascii="Arial" w:eastAsia="Times New Roman" w:hAnsi="Arial" w:cs="Arial"/>
          <w:color w:val="373151"/>
          <w:szCs w:val="36"/>
        </w:rPr>
        <w:t xml:space="preserve">In the 2019 General Election </w:t>
      </w:r>
      <w:r w:rsidR="00F55AA5">
        <w:rPr>
          <w:rFonts w:ascii="Arial" w:eastAsia="Times New Roman" w:hAnsi="Arial" w:cs="Arial"/>
          <w:color w:val="373151"/>
          <w:szCs w:val="36"/>
        </w:rPr>
        <w:t xml:space="preserve">a strong campaign was run in NE Somerset with </w:t>
      </w:r>
      <w:r w:rsidR="006762CF">
        <w:rPr>
          <w:rFonts w:ascii="Arial" w:eastAsia="Times New Roman" w:hAnsi="Arial" w:cs="Arial"/>
          <w:color w:val="373151"/>
          <w:szCs w:val="36"/>
        </w:rPr>
        <w:t xml:space="preserve">a resulting </w:t>
      </w:r>
      <w:r w:rsidR="00F55AA5">
        <w:rPr>
          <w:rFonts w:ascii="Arial" w:eastAsia="Times New Roman" w:hAnsi="Arial" w:cs="Arial"/>
          <w:color w:val="373151"/>
          <w:szCs w:val="36"/>
        </w:rPr>
        <w:t>increase</w:t>
      </w:r>
      <w:r w:rsidR="006762CF">
        <w:rPr>
          <w:rFonts w:ascii="Arial" w:eastAsia="Times New Roman" w:hAnsi="Arial" w:cs="Arial"/>
          <w:color w:val="373151"/>
          <w:szCs w:val="36"/>
        </w:rPr>
        <w:t xml:space="preserve"> in our vote share.</w:t>
      </w:r>
      <w:r>
        <w:rPr>
          <w:rFonts w:ascii="Arial" w:eastAsia="Times New Roman" w:hAnsi="Arial" w:cs="Arial"/>
          <w:color w:val="373151"/>
          <w:szCs w:val="36"/>
        </w:rPr>
        <w:t xml:space="preserve">  Over 250 Lib Dem volunteers enthusiastically helped our candidate and remain committed to overtu</w:t>
      </w:r>
      <w:r w:rsidR="007E3B72">
        <w:rPr>
          <w:rFonts w:ascii="Arial" w:eastAsia="Times New Roman" w:hAnsi="Arial" w:cs="Arial"/>
          <w:color w:val="373151"/>
          <w:szCs w:val="36"/>
        </w:rPr>
        <w:t xml:space="preserve">rning </w:t>
      </w:r>
      <w:r w:rsidR="007E3B72">
        <w:rPr>
          <w:rFonts w:ascii="Arial" w:eastAsia="Times New Roman" w:hAnsi="Arial" w:cs="Arial"/>
          <w:color w:val="373151"/>
          <w:szCs w:val="36"/>
        </w:rPr>
        <w:lastRenderedPageBreak/>
        <w:t>the present MP Jacob Rees-</w:t>
      </w:r>
      <w:r>
        <w:rPr>
          <w:rFonts w:ascii="Arial" w:eastAsia="Times New Roman" w:hAnsi="Arial" w:cs="Arial"/>
          <w:color w:val="373151"/>
          <w:szCs w:val="36"/>
        </w:rPr>
        <w:t>Mogg.  There was only a small majority in favour of leaving the EU in the referendum</w:t>
      </w:r>
      <w:r w:rsidR="007E3B72">
        <w:rPr>
          <w:rFonts w:ascii="Arial" w:eastAsia="Times New Roman" w:hAnsi="Arial" w:cs="Arial"/>
          <w:color w:val="373151"/>
          <w:szCs w:val="36"/>
        </w:rPr>
        <w:t xml:space="preserve"> and the Liberal Democrats were able to significantly increase our vote share in the General Election</w:t>
      </w:r>
      <w:r>
        <w:rPr>
          <w:rFonts w:ascii="Arial" w:eastAsia="Times New Roman" w:hAnsi="Arial" w:cs="Arial"/>
          <w:color w:val="373151"/>
          <w:szCs w:val="36"/>
        </w:rPr>
        <w:t>.</w:t>
      </w:r>
      <w:r w:rsidR="00AF6786">
        <w:rPr>
          <w:rFonts w:ascii="Arial" w:eastAsia="Times New Roman" w:hAnsi="Arial" w:cs="Arial"/>
          <w:color w:val="373151"/>
          <w:szCs w:val="36"/>
        </w:rPr>
        <w:t xml:space="preserve">  </w:t>
      </w:r>
    </w:p>
    <w:p w14:paraId="20403ABE" w14:textId="77777777" w:rsidR="006762CF" w:rsidRPr="00F55AA5" w:rsidRDefault="006762CF" w:rsidP="00EA31E1">
      <w:pPr>
        <w:shd w:val="clear" w:color="auto" w:fill="FFFFFF"/>
        <w:outlineLvl w:val="1"/>
        <w:rPr>
          <w:rFonts w:ascii="Arial" w:eastAsia="Times New Roman" w:hAnsi="Arial" w:cs="Arial"/>
          <w:color w:val="373151"/>
          <w:szCs w:val="36"/>
        </w:rPr>
      </w:pPr>
    </w:p>
    <w:p w14:paraId="525CEAD9" w14:textId="77777777" w:rsidR="00EA31E1" w:rsidRPr="00F55AA5" w:rsidRDefault="00EA31E1" w:rsidP="00EA31E1">
      <w:pPr>
        <w:shd w:val="clear" w:color="auto" w:fill="FFFFFF"/>
        <w:spacing w:after="270"/>
        <w:rPr>
          <w:rFonts w:ascii="Arial" w:hAnsi="Arial" w:cs="Arial"/>
          <w:color w:val="4D4D4D"/>
        </w:rPr>
      </w:pPr>
      <w:proofErr w:type="gramStart"/>
      <w:r w:rsidRPr="00F55AA5">
        <w:rPr>
          <w:rFonts w:ascii="Arial" w:hAnsi="Arial" w:cs="Arial"/>
          <w:color w:val="4D4D4D"/>
        </w:rPr>
        <w:t>Results for each party with number of votes, percentage share of the</w:t>
      </w:r>
      <w:r w:rsidRPr="00EA31E1">
        <w:rPr>
          <w:rFonts w:ascii="Arial" w:hAnsi="Arial" w:cs="Arial"/>
          <w:color w:val="4D4D4D"/>
          <w:sz w:val="27"/>
          <w:szCs w:val="27"/>
        </w:rPr>
        <w:t xml:space="preserve"> vote </w:t>
      </w:r>
      <w:r w:rsidRPr="00F55AA5">
        <w:rPr>
          <w:rFonts w:ascii="Arial" w:hAnsi="Arial" w:cs="Arial"/>
          <w:color w:val="4D4D4D"/>
        </w:rPr>
        <w:t>and changes since last election.</w:t>
      </w:r>
      <w:proofErr w:type="gramEnd"/>
      <w:r w:rsidRPr="00F55AA5">
        <w:rPr>
          <w:rFonts w:ascii="Arial" w:hAnsi="Arial" w:cs="Arial"/>
          <w:color w:val="4D4D4D"/>
        </w:rPr>
        <w:t xml:space="preserve">  The turnout was 76.4%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1320"/>
        <w:gridCol w:w="1322"/>
        <w:gridCol w:w="1610"/>
        <w:gridCol w:w="1963"/>
      </w:tblGrid>
      <w:tr w:rsidR="00EA31E1" w:rsidRPr="00EA31E1" w14:paraId="03DDE0B9" w14:textId="77777777" w:rsidTr="00EA31E1">
        <w:trPr>
          <w:tblHeader/>
          <w:tblCellSpacing w:w="15" w:type="dxa"/>
        </w:trPr>
        <w:tc>
          <w:tcPr>
            <w:tcW w:w="0" w:type="auto"/>
            <w:tcBorders>
              <w:top w:val="dotted" w:sz="6" w:space="0" w:color="CBC9CD"/>
              <w:left w:val="nil"/>
              <w:bottom w:val="dotted" w:sz="6" w:space="0" w:color="CBC9C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AA71E7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  <w:t>Candidate</w:t>
            </w:r>
          </w:p>
        </w:tc>
        <w:tc>
          <w:tcPr>
            <w:tcW w:w="0" w:type="auto"/>
            <w:tcBorders>
              <w:top w:val="dotted" w:sz="6" w:space="0" w:color="CBC9CD"/>
              <w:left w:val="nil"/>
              <w:bottom w:val="dotted" w:sz="6" w:space="0" w:color="CBC9C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E09A6A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  <w:t>Party</w:t>
            </w:r>
          </w:p>
        </w:tc>
        <w:tc>
          <w:tcPr>
            <w:tcW w:w="0" w:type="auto"/>
            <w:tcBorders>
              <w:top w:val="dotted" w:sz="6" w:space="0" w:color="CBC9CD"/>
              <w:left w:val="nil"/>
              <w:bottom w:val="dotted" w:sz="6" w:space="0" w:color="CBC9C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9092C6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  <w:t>Votes</w:t>
            </w:r>
          </w:p>
        </w:tc>
        <w:tc>
          <w:tcPr>
            <w:tcW w:w="0" w:type="auto"/>
            <w:tcBorders>
              <w:top w:val="dotted" w:sz="6" w:space="0" w:color="CBC9CD"/>
              <w:left w:val="nil"/>
              <w:bottom w:val="dotted" w:sz="6" w:space="0" w:color="CBC9C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5B8D99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  <w:t>Vote (%)</w:t>
            </w:r>
          </w:p>
        </w:tc>
        <w:tc>
          <w:tcPr>
            <w:tcW w:w="0" w:type="auto"/>
            <w:tcBorders>
              <w:top w:val="dotted" w:sz="6" w:space="0" w:color="CBC9CD"/>
              <w:left w:val="nil"/>
              <w:bottom w:val="dotted" w:sz="6" w:space="0" w:color="CBC9C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53EDFD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717171"/>
                <w:sz w:val="20"/>
                <w:szCs w:val="20"/>
              </w:rPr>
              <w:t>Change (%)</w:t>
            </w:r>
          </w:p>
        </w:tc>
      </w:tr>
      <w:tr w:rsidR="00EA31E1" w:rsidRPr="00EA31E1" w14:paraId="6FC4697A" w14:textId="77777777" w:rsidTr="00EA31E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02DC91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Jacob Rees-Mogg </w:t>
            </w:r>
          </w:p>
        </w:tc>
        <w:tc>
          <w:tcPr>
            <w:tcW w:w="0" w:type="auto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D48BD4" w14:textId="77777777" w:rsidR="00EA31E1" w:rsidRPr="00EA31E1" w:rsidRDefault="00EA31E1" w:rsidP="00EA31E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sz w:val="20"/>
                <w:szCs w:val="20"/>
              </w:rPr>
              <w:t>Con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05263F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28,360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991DD2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19E074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B50938"/>
                <w:sz w:val="20"/>
                <w:szCs w:val="20"/>
              </w:rPr>
              <w:t>-3.3</w:t>
            </w:r>
          </w:p>
        </w:tc>
      </w:tr>
      <w:tr w:rsidR="00EA31E1" w:rsidRPr="00EA31E1" w14:paraId="55874BA7" w14:textId="77777777" w:rsidTr="00EA31E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0F5505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Mark </w:t>
            </w:r>
            <w:proofErr w:type="spellStart"/>
            <w:r w:rsidRPr="00EA31E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Huband</w:t>
            </w:r>
            <w:proofErr w:type="spellEnd"/>
            <w:r w:rsidRPr="00EA31E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24" w:space="0" w:color="FF0000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3D89A4" w14:textId="77777777" w:rsidR="00EA31E1" w:rsidRPr="00EA31E1" w:rsidRDefault="00EA31E1" w:rsidP="00EA31E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sz w:val="20"/>
                <w:szCs w:val="20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D636D7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13,631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029CEB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4A896F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B50938"/>
                <w:sz w:val="20"/>
                <w:szCs w:val="20"/>
              </w:rPr>
              <w:t>-10.5</w:t>
            </w:r>
          </w:p>
        </w:tc>
      </w:tr>
      <w:tr w:rsidR="00EA31E1" w:rsidRPr="00EA31E1" w14:paraId="0D259AF9" w14:textId="77777777" w:rsidTr="00EA31E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E27D3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Nick Coates </w:t>
            </w:r>
          </w:p>
        </w:tc>
        <w:tc>
          <w:tcPr>
            <w:tcW w:w="0" w:type="auto"/>
            <w:tcBorders>
              <w:top w:val="nil"/>
              <w:left w:val="single" w:sz="24" w:space="0" w:color="FFCC00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FAA18C" w14:textId="77777777" w:rsidR="00EA31E1" w:rsidRPr="00EA31E1" w:rsidRDefault="00EA31E1" w:rsidP="00EA31E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sz w:val="20"/>
                <w:szCs w:val="20"/>
              </w:rPr>
              <w:t>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42DCF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12,422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2E2FA6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E6B7C9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006E46"/>
                <w:sz w:val="20"/>
                <w:szCs w:val="20"/>
              </w:rPr>
              <w:t>13.8</w:t>
            </w:r>
          </w:p>
        </w:tc>
      </w:tr>
      <w:tr w:rsidR="00EA31E1" w:rsidRPr="00EA31E1" w14:paraId="24A02C57" w14:textId="77777777" w:rsidTr="00EA31E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B70D28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Fay Whitfield *</w:t>
            </w:r>
          </w:p>
        </w:tc>
        <w:tc>
          <w:tcPr>
            <w:tcW w:w="0" w:type="auto"/>
            <w:tcBorders>
              <w:top w:val="nil"/>
              <w:left w:val="single" w:sz="24" w:space="0" w:color="008000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80BB67" w14:textId="77777777" w:rsidR="00EA31E1" w:rsidRPr="00EA31E1" w:rsidRDefault="00EA31E1" w:rsidP="00EA31E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sz w:val="20"/>
                <w:szCs w:val="20"/>
              </w:rPr>
              <w:t>Green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A252A2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1,423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48E01F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CB0C35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006E46"/>
                <w:sz w:val="20"/>
                <w:szCs w:val="20"/>
              </w:rPr>
              <w:t>0.2</w:t>
            </w:r>
          </w:p>
        </w:tc>
      </w:tr>
      <w:tr w:rsidR="00EA31E1" w:rsidRPr="00EA31E1" w14:paraId="7661C458" w14:textId="77777777" w:rsidTr="00EA31E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D1CC57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Shaun Hughes *</w:t>
            </w:r>
          </w:p>
        </w:tc>
        <w:tc>
          <w:tcPr>
            <w:tcW w:w="0" w:type="auto"/>
            <w:tcBorders>
              <w:top w:val="nil"/>
              <w:left w:val="single" w:sz="24" w:space="0" w:color="808080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98EB11" w14:textId="77777777" w:rsidR="00EA31E1" w:rsidRPr="00EA31E1" w:rsidRDefault="00EA31E1" w:rsidP="00EA31E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EA31E1">
              <w:rPr>
                <w:rFonts w:ascii="Times" w:eastAsia="Times New Roman" w:hAnsi="Times" w:cs="Times New Roman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7EAD43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C9C51E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C11BF" w14:textId="77777777" w:rsidR="00EA31E1" w:rsidRPr="00EA31E1" w:rsidRDefault="00EA31E1" w:rsidP="00EA31E1">
            <w:pPr>
              <w:jc w:val="center"/>
              <w:rPr>
                <w:rFonts w:ascii="Times" w:eastAsia="Times New Roman" w:hAnsi="Times" w:cs="Times New Roman"/>
                <w:color w:val="625A75"/>
                <w:sz w:val="20"/>
                <w:szCs w:val="20"/>
              </w:rPr>
            </w:pPr>
            <w:r w:rsidRPr="00EA31E1">
              <w:rPr>
                <w:rFonts w:ascii="Times" w:eastAsia="Times New Roman" w:hAnsi="Times" w:cs="Times New Roman"/>
                <w:color w:val="B50938"/>
                <w:sz w:val="20"/>
                <w:szCs w:val="20"/>
              </w:rPr>
              <w:t>-0.2</w:t>
            </w:r>
          </w:p>
        </w:tc>
      </w:tr>
    </w:tbl>
    <w:p w14:paraId="1FB65CC1" w14:textId="77777777" w:rsidR="00EA31E1" w:rsidRDefault="00EA31E1"/>
    <w:p w14:paraId="32112A76" w14:textId="77777777" w:rsidR="00EE7ADC" w:rsidRDefault="00EE7ADC">
      <w:pPr>
        <w:rPr>
          <w:b/>
        </w:rPr>
      </w:pPr>
      <w:r>
        <w:rPr>
          <w:b/>
        </w:rPr>
        <w:t>EU Referendum result</w:t>
      </w:r>
    </w:p>
    <w:p w14:paraId="5796BC3E" w14:textId="77777777" w:rsidR="00C57B75" w:rsidRDefault="009F5558">
      <w:r>
        <w:t xml:space="preserve">EU referendum </w:t>
      </w:r>
      <w:proofErr w:type="gramStart"/>
      <w:r>
        <w:t>vote</w:t>
      </w:r>
      <w:r w:rsidR="00C57B75">
        <w:t xml:space="preserve">  51.63</w:t>
      </w:r>
      <w:proofErr w:type="gramEnd"/>
      <w:r w:rsidR="00C57B75">
        <w:t xml:space="preserve"> % Leave   48.37% remain  ( Estimated results based on the </w:t>
      </w:r>
      <w:proofErr w:type="spellStart"/>
      <w:r w:rsidR="00C57B75">
        <w:t>Hanratty</w:t>
      </w:r>
      <w:proofErr w:type="spellEnd"/>
      <w:r w:rsidR="00C57B75">
        <w:t xml:space="preserve"> model, sourced from Wikipedia )  </w:t>
      </w:r>
    </w:p>
    <w:p w14:paraId="4CC08C63" w14:textId="77777777" w:rsidR="00C57B75" w:rsidRDefault="00C57B75"/>
    <w:p w14:paraId="11D68118" w14:textId="758E2207" w:rsidR="009F5558" w:rsidRDefault="009F5558">
      <w:pPr>
        <w:rPr>
          <w:b/>
        </w:rPr>
      </w:pPr>
      <w:r w:rsidRPr="00EE7ADC">
        <w:rPr>
          <w:b/>
        </w:rPr>
        <w:t>Councillors</w:t>
      </w:r>
      <w:r w:rsidR="00C57B75" w:rsidRPr="00EE7ADC">
        <w:rPr>
          <w:b/>
        </w:rPr>
        <w:t xml:space="preserve"> </w:t>
      </w:r>
      <w:r w:rsidR="00E44BC4">
        <w:rPr>
          <w:b/>
        </w:rPr>
        <w:t>in NES</w:t>
      </w:r>
    </w:p>
    <w:p w14:paraId="6D232200" w14:textId="6684B6F0" w:rsidR="00C57B75" w:rsidRDefault="00C57B75">
      <w:r>
        <w:t xml:space="preserve">In 2019 11 </w:t>
      </w:r>
      <w:r w:rsidR="000B2B12">
        <w:t xml:space="preserve">Lib Dem </w:t>
      </w:r>
      <w:r>
        <w:t>Councillors were elected in 7 wards of the constituency</w:t>
      </w:r>
    </w:p>
    <w:p w14:paraId="77DC4140" w14:textId="13C08307" w:rsidR="00C57B75" w:rsidRDefault="000B2B12">
      <w:r>
        <w:t>In 2023</w:t>
      </w:r>
      <w:r w:rsidR="00E930F0">
        <w:t xml:space="preserve"> </w:t>
      </w:r>
      <w:r w:rsidR="006762CF">
        <w:t>th</w:t>
      </w:r>
      <w:r w:rsidR="00E930F0">
        <w:t>e number of targeted seats</w:t>
      </w:r>
      <w:r w:rsidR="0054103B">
        <w:t xml:space="preserve"> will increase.  We plan </w:t>
      </w:r>
      <w:r w:rsidR="00C57B75">
        <w:t>to elect 20 Councillors in 10 – 12 wards</w:t>
      </w:r>
      <w:r w:rsidR="0054103B">
        <w:t xml:space="preserve"> in NE S</w:t>
      </w:r>
      <w:r w:rsidR="007E3B72">
        <w:t>o</w:t>
      </w:r>
      <w:r w:rsidR="00953CB0">
        <w:t>merset</w:t>
      </w:r>
      <w:r w:rsidR="00C57B75">
        <w:t>.</w:t>
      </w:r>
    </w:p>
    <w:p w14:paraId="1A06C334" w14:textId="7648B41B" w:rsidR="00E44BC4" w:rsidRDefault="00E44BC4">
      <w:r>
        <w:t xml:space="preserve">Overall the Lib Dems are the majority party in BANES with </w:t>
      </w:r>
      <w:r w:rsidR="00E12810">
        <w:t>35 seats, Conservatives have 11</w:t>
      </w:r>
      <w:proofErr w:type="gramStart"/>
      <w:r w:rsidR="00E12810">
        <w:t>,  Labour</w:t>
      </w:r>
      <w:proofErr w:type="gramEnd"/>
      <w:r w:rsidR="00E12810">
        <w:t xml:space="preserve"> 5, Greens 1 and 7 Independent. </w:t>
      </w:r>
    </w:p>
    <w:p w14:paraId="68BC519D" w14:textId="77777777" w:rsidR="00E44BC4" w:rsidRDefault="00E44BC4"/>
    <w:p w14:paraId="1B93E39B" w14:textId="01C3860C" w:rsidR="00E44BC4" w:rsidRPr="00E44BC4" w:rsidRDefault="00E44BC4">
      <w:pPr>
        <w:rPr>
          <w:b/>
        </w:rPr>
      </w:pPr>
      <w:r w:rsidRPr="00E44BC4">
        <w:rPr>
          <w:b/>
        </w:rPr>
        <w:t>WECA election 2021</w:t>
      </w:r>
    </w:p>
    <w:p w14:paraId="7FA9C5ED" w14:textId="4EC58356" w:rsidR="00C57B75" w:rsidRDefault="00E44BC4">
      <w:r>
        <w:t xml:space="preserve">Dan Norris </w:t>
      </w:r>
      <w:proofErr w:type="gramStart"/>
      <w:r>
        <w:t>Labour,</w:t>
      </w:r>
      <w:proofErr w:type="gramEnd"/>
      <w:r>
        <w:t xml:space="preserve"> won the mayoral election in 2021.  </w:t>
      </w:r>
    </w:p>
    <w:p w14:paraId="2F1AFEBF" w14:textId="77777777" w:rsidR="009F5558" w:rsidRDefault="009F5558"/>
    <w:p w14:paraId="0E04109C" w14:textId="71052A6B" w:rsidR="00BA0BF0" w:rsidRPr="00BA0BF0" w:rsidRDefault="007E3B72">
      <w:pPr>
        <w:rPr>
          <w:b/>
        </w:rPr>
      </w:pPr>
      <w:r>
        <w:rPr>
          <w:b/>
        </w:rPr>
        <w:t xml:space="preserve">3. </w:t>
      </w:r>
      <w:r w:rsidR="00BA0BF0">
        <w:rPr>
          <w:b/>
        </w:rPr>
        <w:t>BANES Economic Strategy</w:t>
      </w:r>
    </w:p>
    <w:p w14:paraId="3662EDCF" w14:textId="1A84F3CD" w:rsidR="00E25650" w:rsidRDefault="00DF5DE6">
      <w:r>
        <w:t xml:space="preserve">In 2014 Bath and NE Somerset Council </w:t>
      </w:r>
      <w:r w:rsidR="008461B0">
        <w:t xml:space="preserve"> </w:t>
      </w:r>
      <w:proofErr w:type="gramStart"/>
      <w:r w:rsidR="008461B0">
        <w:t>( BANES</w:t>
      </w:r>
      <w:proofErr w:type="gramEnd"/>
      <w:r w:rsidR="008461B0">
        <w:t xml:space="preserve">) </w:t>
      </w:r>
      <w:r>
        <w:t>reviewed it</w:t>
      </w:r>
      <w:r w:rsidR="008461B0">
        <w:t>s</w:t>
      </w:r>
      <w:r>
        <w:t xml:space="preserve"> </w:t>
      </w:r>
      <w:r w:rsidR="00E25650">
        <w:t xml:space="preserve">economic </w:t>
      </w:r>
      <w:r>
        <w:t xml:space="preserve">strategy for the area for the period from 2014 to 2030.  </w:t>
      </w:r>
    </w:p>
    <w:p w14:paraId="13EEE4B6" w14:textId="007AA28C" w:rsidR="00DF5DE6" w:rsidRDefault="00DF5DE6">
      <w:r>
        <w:t>Some key points include:</w:t>
      </w:r>
    </w:p>
    <w:p w14:paraId="05475D72" w14:textId="661CA236" w:rsidR="00A6026F" w:rsidRDefault="00DF5DE6">
      <w:r>
        <w:t xml:space="preserve">Manufacturing employment in the </w:t>
      </w:r>
      <w:proofErr w:type="spellStart"/>
      <w:r>
        <w:t>Somer</w:t>
      </w:r>
      <w:proofErr w:type="spellEnd"/>
      <w:r>
        <w:t xml:space="preserve"> Valley area of NE Somerset is 20% compared with 5% in </w:t>
      </w:r>
      <w:r w:rsidR="008461B0">
        <w:t>BANES</w:t>
      </w:r>
    </w:p>
    <w:p w14:paraId="264FD47A" w14:textId="07E5CF26" w:rsidR="007E3B72" w:rsidRDefault="007E3B72">
      <w:r>
        <w:t>Low level of employment in Farming and fishing with the expectation that this would fall further in this period.</w:t>
      </w:r>
    </w:p>
    <w:p w14:paraId="1977C6C6" w14:textId="3FCB08AE" w:rsidR="008461B0" w:rsidRDefault="008461B0">
      <w:r>
        <w:t>There is a high level of employment in the public sector with many low paid jobs across BANES.</w:t>
      </w:r>
    </w:p>
    <w:p w14:paraId="5186B6C0" w14:textId="5AB01D0C" w:rsidR="00A6026F" w:rsidRDefault="00A6026F">
      <w:r>
        <w:t xml:space="preserve">The priority sectors for employment </w:t>
      </w:r>
      <w:r w:rsidR="00810B95">
        <w:t xml:space="preserve">in BANES </w:t>
      </w:r>
      <w:r w:rsidR="008461B0">
        <w:t>at 2014 were</w:t>
      </w:r>
      <w:r>
        <w:t>:</w:t>
      </w:r>
    </w:p>
    <w:p w14:paraId="6E904D7E" w14:textId="77777777" w:rsidR="008461B0" w:rsidRDefault="008461B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581"/>
      </w:tblGrid>
      <w:tr w:rsidR="008461B0" w:rsidRPr="008461B0" w14:paraId="491D6C73" w14:textId="77777777" w:rsidTr="008461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4F1B7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Tourism / Leisure / Arts &amp; Culture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E9C7B5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10,300 </w:t>
            </w:r>
          </w:p>
        </w:tc>
      </w:tr>
      <w:tr w:rsidR="008461B0" w:rsidRPr="008461B0" w14:paraId="30BAE985" w14:textId="77777777" w:rsidTr="008461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64D6D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Retail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4F351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10,200 </w:t>
            </w:r>
          </w:p>
        </w:tc>
      </w:tr>
      <w:tr w:rsidR="008461B0" w:rsidRPr="008461B0" w14:paraId="3D9A353C" w14:textId="77777777" w:rsidTr="008461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9D582E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Health &amp; Well-being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4C8D6A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11,100 </w:t>
            </w:r>
          </w:p>
        </w:tc>
      </w:tr>
      <w:tr w:rsidR="008461B0" w:rsidRPr="008461B0" w14:paraId="01456B10" w14:textId="77777777" w:rsidTr="008461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F905E7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Financial &amp; Professional Business Services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645737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8,500 </w:t>
            </w:r>
          </w:p>
        </w:tc>
      </w:tr>
      <w:tr w:rsidR="008461B0" w:rsidRPr="008461B0" w14:paraId="08C3E457" w14:textId="77777777" w:rsidTr="008461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28F3A4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ICT / Creative &amp; Digital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17C893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5,800 </w:t>
            </w:r>
          </w:p>
        </w:tc>
      </w:tr>
      <w:tr w:rsidR="008461B0" w:rsidRPr="008461B0" w14:paraId="4B77971D" w14:textId="77777777" w:rsidTr="008461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B955A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Advanced Engineering &amp; Electronics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D7CED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2,700 </w:t>
            </w:r>
          </w:p>
        </w:tc>
      </w:tr>
      <w:tr w:rsidR="008461B0" w:rsidRPr="008461B0" w14:paraId="2ABBA1C0" w14:textId="77777777" w:rsidTr="008461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D231A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Environment &amp; Low Carbon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8880B" w14:textId="77777777" w:rsidR="008461B0" w:rsidRPr="008461B0" w:rsidRDefault="008461B0" w:rsidP="008461B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461B0">
              <w:rPr>
                <w:rFonts w:ascii="Helvetica Neue" w:hAnsi="Helvetica Neue" w:cs="Times New Roman"/>
                <w:sz w:val="18"/>
                <w:szCs w:val="18"/>
              </w:rPr>
              <w:t xml:space="preserve">1,300 </w:t>
            </w:r>
          </w:p>
        </w:tc>
      </w:tr>
    </w:tbl>
    <w:p w14:paraId="30F9D5BB" w14:textId="77777777" w:rsidR="008461B0" w:rsidRDefault="008461B0"/>
    <w:p w14:paraId="4A7CA960" w14:textId="77777777" w:rsidR="004D7865" w:rsidRDefault="004D7865"/>
    <w:p w14:paraId="3BF2CF59" w14:textId="6D095814" w:rsidR="008461B0" w:rsidRDefault="008461B0">
      <w:r>
        <w:t>The table below shows predictions for employment growth across BANES.</w:t>
      </w:r>
    </w:p>
    <w:p w14:paraId="65A12C25" w14:textId="77777777" w:rsidR="00A6026F" w:rsidRDefault="00A6026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1374"/>
        <w:gridCol w:w="1207"/>
        <w:gridCol w:w="2548"/>
      </w:tblGrid>
      <w:tr w:rsidR="00A6026F" w:rsidRPr="00A6026F" w14:paraId="2CD07F1D" w14:textId="77777777" w:rsidTr="00A6026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B7B5B5"/>
            <w:vAlign w:val="center"/>
            <w:hideMark/>
          </w:tcPr>
          <w:p w14:paraId="0389572A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b/>
                <w:bCs/>
                <w:sz w:val="18"/>
                <w:szCs w:val="18"/>
              </w:rPr>
              <w:t xml:space="preserve">MEASURE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B7B5B5"/>
            <w:vAlign w:val="center"/>
            <w:hideMark/>
          </w:tcPr>
          <w:p w14:paraId="46E19AC8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b/>
                <w:bCs/>
                <w:sz w:val="18"/>
                <w:szCs w:val="18"/>
              </w:rPr>
              <w:t xml:space="preserve">BASELINE 2010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B7B5B5"/>
            <w:vAlign w:val="center"/>
            <w:hideMark/>
          </w:tcPr>
          <w:p w14:paraId="57FBD128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b/>
                <w:bCs/>
                <w:sz w:val="18"/>
                <w:szCs w:val="18"/>
              </w:rPr>
              <w:t xml:space="preserve">TARGET 2030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B7B5B5"/>
            <w:vAlign w:val="center"/>
            <w:hideMark/>
          </w:tcPr>
          <w:p w14:paraId="7293D7F3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b/>
                <w:bCs/>
                <w:sz w:val="18"/>
                <w:szCs w:val="18"/>
              </w:rPr>
              <w:t xml:space="preserve">SOURCE </w:t>
            </w:r>
          </w:p>
        </w:tc>
      </w:tr>
      <w:tr w:rsidR="00A6026F" w:rsidRPr="00A6026F" w14:paraId="74555390" w14:textId="77777777" w:rsidTr="00A6026F"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4C0C"/>
            <w:vAlign w:val="center"/>
            <w:hideMark/>
          </w:tcPr>
          <w:p w14:paraId="55A93C7F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18"/>
              </w:rPr>
              <w:t xml:space="preserve">BUSINESS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4C0C"/>
            <w:vAlign w:val="center"/>
            <w:hideMark/>
          </w:tcPr>
          <w:p w14:paraId="5882C07B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4C0C"/>
            <w:vAlign w:val="center"/>
            <w:hideMark/>
          </w:tcPr>
          <w:p w14:paraId="2B1F218D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4C0C"/>
            <w:vAlign w:val="center"/>
            <w:hideMark/>
          </w:tcPr>
          <w:p w14:paraId="6456E328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6026F" w:rsidRPr="00A6026F" w14:paraId="2529771F" w14:textId="77777777" w:rsidTr="00A6026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DDC9"/>
            <w:vAlign w:val="center"/>
            <w:hideMark/>
          </w:tcPr>
          <w:p w14:paraId="0873B9F2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Number of jobs in the Priority Sectors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DDC9"/>
            <w:vAlign w:val="center"/>
            <w:hideMark/>
          </w:tcPr>
          <w:p w14:paraId="5AB12B7D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50,400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DDC9"/>
            <w:vAlign w:val="center"/>
            <w:hideMark/>
          </w:tcPr>
          <w:p w14:paraId="59DE4B8D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61,900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DDC9"/>
            <w:vAlign w:val="center"/>
            <w:hideMark/>
          </w:tcPr>
          <w:p w14:paraId="400544B4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Oxford Economics 2010 - 2030 </w:t>
            </w:r>
          </w:p>
        </w:tc>
      </w:tr>
      <w:tr w:rsidR="00A6026F" w:rsidRPr="00A6026F" w14:paraId="5B5549BD" w14:textId="77777777" w:rsidTr="00A6026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F4CCAF"/>
            <w:vAlign w:val="center"/>
            <w:hideMark/>
          </w:tcPr>
          <w:p w14:paraId="42CBAFE9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Average GVA per worker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F4CCAF"/>
            <w:vAlign w:val="center"/>
            <w:hideMark/>
          </w:tcPr>
          <w:p w14:paraId="1B285AB5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39,000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F4CCAF"/>
            <w:vAlign w:val="center"/>
            <w:hideMark/>
          </w:tcPr>
          <w:p w14:paraId="762C9C28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66,000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F4CCAF"/>
            <w:vAlign w:val="center"/>
            <w:hideMark/>
          </w:tcPr>
          <w:p w14:paraId="286F9289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Oxford Economics 2010 - 2030 </w:t>
            </w:r>
          </w:p>
        </w:tc>
      </w:tr>
      <w:tr w:rsidR="00A6026F" w:rsidRPr="00A6026F" w14:paraId="00376C9C" w14:textId="77777777" w:rsidTr="00A6026F"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D19"/>
            <w:vAlign w:val="center"/>
            <w:hideMark/>
          </w:tcPr>
          <w:p w14:paraId="71FACBCC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18"/>
              </w:rPr>
              <w:t xml:space="preserve">PLACE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D19"/>
            <w:vAlign w:val="center"/>
            <w:hideMark/>
          </w:tcPr>
          <w:p w14:paraId="3D693FC7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D19"/>
            <w:vAlign w:val="center"/>
            <w:hideMark/>
          </w:tcPr>
          <w:p w14:paraId="09C09A13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D19"/>
            <w:vAlign w:val="center"/>
            <w:hideMark/>
          </w:tcPr>
          <w:p w14:paraId="3CE38A24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6026F" w:rsidRPr="00A6026F" w14:paraId="19A772FB" w14:textId="77777777" w:rsidTr="00A6026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C9"/>
            <w:vAlign w:val="center"/>
            <w:hideMark/>
          </w:tcPr>
          <w:p w14:paraId="694E54DE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Number of jobs in B&amp;NES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C9"/>
            <w:vAlign w:val="center"/>
            <w:hideMark/>
          </w:tcPr>
          <w:p w14:paraId="7D1AAB54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88,800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C9"/>
            <w:vAlign w:val="center"/>
            <w:hideMark/>
          </w:tcPr>
          <w:p w14:paraId="032BA636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100,300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C9"/>
            <w:vAlign w:val="center"/>
            <w:hideMark/>
          </w:tcPr>
          <w:p w14:paraId="3C942049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Oxford Economics 2010 - 2030 </w:t>
            </w:r>
          </w:p>
        </w:tc>
      </w:tr>
      <w:tr w:rsidR="00A6026F" w:rsidRPr="00A6026F" w14:paraId="2ECF50B3" w14:textId="77777777" w:rsidTr="00A6026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EAF"/>
            <w:vAlign w:val="center"/>
            <w:hideMark/>
          </w:tcPr>
          <w:p w14:paraId="47F2C539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Number of jobs in Bath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EAF"/>
            <w:vAlign w:val="center"/>
            <w:hideMark/>
          </w:tcPr>
          <w:p w14:paraId="478504D5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60,300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EAF"/>
            <w:vAlign w:val="center"/>
            <w:hideMark/>
          </w:tcPr>
          <w:p w14:paraId="55173326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68,100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EAF"/>
            <w:vAlign w:val="center"/>
            <w:hideMark/>
          </w:tcPr>
          <w:p w14:paraId="7612157D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Oxford Economics 2010 - 2030 </w:t>
            </w:r>
          </w:p>
        </w:tc>
      </w:tr>
      <w:tr w:rsidR="00A6026F" w:rsidRPr="00A6026F" w14:paraId="538A703A" w14:textId="77777777" w:rsidTr="00A6026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DDDDC9"/>
            <w:vAlign w:val="center"/>
            <w:hideMark/>
          </w:tcPr>
          <w:p w14:paraId="6257B945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Number of jobs in the Market Towns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DDDDC9"/>
            <w:vAlign w:val="center"/>
            <w:hideMark/>
          </w:tcPr>
          <w:p w14:paraId="5A6B6887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16,900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DDDDC9"/>
            <w:vAlign w:val="center"/>
            <w:hideMark/>
          </w:tcPr>
          <w:p w14:paraId="6595E26D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19,800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DDDDC9"/>
            <w:vAlign w:val="center"/>
            <w:hideMark/>
          </w:tcPr>
          <w:p w14:paraId="421C5234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Oxford Economics 2010 - 2030 </w:t>
            </w:r>
          </w:p>
        </w:tc>
      </w:tr>
      <w:tr w:rsidR="00A6026F" w:rsidRPr="00A6026F" w14:paraId="45A62B70" w14:textId="77777777" w:rsidTr="00A6026F"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3A59"/>
            <w:vAlign w:val="center"/>
            <w:hideMark/>
          </w:tcPr>
          <w:p w14:paraId="01004B06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b/>
                <w:bCs/>
                <w:color w:val="FFFFFF"/>
                <w:sz w:val="18"/>
                <w:szCs w:val="18"/>
              </w:rPr>
              <w:t xml:space="preserve">PEOPLE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3A59"/>
            <w:vAlign w:val="center"/>
            <w:hideMark/>
          </w:tcPr>
          <w:p w14:paraId="034AD284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3A59"/>
            <w:vAlign w:val="center"/>
            <w:hideMark/>
          </w:tcPr>
          <w:p w14:paraId="687AC14F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3A59"/>
            <w:vAlign w:val="center"/>
            <w:hideMark/>
          </w:tcPr>
          <w:p w14:paraId="4856D13F" w14:textId="77777777" w:rsidR="00A6026F" w:rsidRPr="00A6026F" w:rsidRDefault="00A6026F" w:rsidP="00A6026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6026F" w:rsidRPr="00A6026F" w14:paraId="2213478C" w14:textId="77777777" w:rsidTr="00A6026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7C4"/>
            <w:vAlign w:val="center"/>
            <w:hideMark/>
          </w:tcPr>
          <w:p w14:paraId="12DD4174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Average annual income per employee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7C4"/>
            <w:vAlign w:val="center"/>
            <w:hideMark/>
          </w:tcPr>
          <w:p w14:paraId="4D24C9D8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27,000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7C4"/>
            <w:vAlign w:val="center"/>
            <w:hideMark/>
          </w:tcPr>
          <w:p w14:paraId="176040FB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41,000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7C4"/>
            <w:vAlign w:val="center"/>
            <w:hideMark/>
          </w:tcPr>
          <w:p w14:paraId="62A9AB08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Oxford Economics 2010 - 2030 </w:t>
            </w:r>
          </w:p>
        </w:tc>
      </w:tr>
      <w:tr w:rsidR="00A6026F" w:rsidRPr="00A6026F" w14:paraId="24438EFE" w14:textId="77777777" w:rsidTr="00A6026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CED6"/>
            <w:vAlign w:val="center"/>
            <w:hideMark/>
          </w:tcPr>
          <w:p w14:paraId="58AC8014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Number of jobs in the Core Sectors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CED6"/>
            <w:vAlign w:val="center"/>
            <w:hideMark/>
          </w:tcPr>
          <w:p w14:paraId="6CBA5E46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44,300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CED6"/>
            <w:vAlign w:val="center"/>
            <w:hideMark/>
          </w:tcPr>
          <w:p w14:paraId="44BF898F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53,700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CED6"/>
            <w:vAlign w:val="center"/>
            <w:hideMark/>
          </w:tcPr>
          <w:p w14:paraId="030CFC9C" w14:textId="77777777" w:rsidR="00A6026F" w:rsidRPr="00A6026F" w:rsidRDefault="00A6026F" w:rsidP="00A602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6026F">
              <w:rPr>
                <w:rFonts w:ascii="Helvetica Neue" w:hAnsi="Helvetica Neue" w:cs="Times New Roman"/>
                <w:sz w:val="18"/>
                <w:szCs w:val="18"/>
              </w:rPr>
              <w:t xml:space="preserve">Oxford Economics 2010 - 2030 </w:t>
            </w:r>
          </w:p>
        </w:tc>
      </w:tr>
    </w:tbl>
    <w:p w14:paraId="73276BF4" w14:textId="77777777" w:rsidR="00A6026F" w:rsidRDefault="00A6026F"/>
    <w:p w14:paraId="5F4802FE" w14:textId="77777777" w:rsidR="00DF5DE6" w:rsidRDefault="00DF5DE6"/>
    <w:p w14:paraId="5CCB5132" w14:textId="001AE4D2" w:rsidR="00E25650" w:rsidRDefault="00166003">
      <w:hyperlink r:id="rId7" w:history="1">
        <w:r w:rsidR="006762CF" w:rsidRPr="00384CD2">
          <w:rPr>
            <w:rStyle w:val="Hyperlink"/>
          </w:rPr>
          <w:t>https://www.bathnes.gov.uk/sites/default/files/current_economic_strategy_doc_10022015.pdf</w:t>
        </w:r>
      </w:hyperlink>
    </w:p>
    <w:p w14:paraId="3692D150" w14:textId="77777777" w:rsidR="006762CF" w:rsidRDefault="006762CF"/>
    <w:p w14:paraId="160E3C9A" w14:textId="4CCE9B75" w:rsidR="006762CF" w:rsidRPr="00810B95" w:rsidRDefault="007B5093" w:rsidP="006762CF">
      <w:pPr>
        <w:rPr>
          <w:b/>
        </w:rPr>
      </w:pPr>
      <w:r>
        <w:rPr>
          <w:b/>
        </w:rPr>
        <w:t xml:space="preserve">4. </w:t>
      </w:r>
      <w:r w:rsidR="006762CF" w:rsidRPr="00810B95">
        <w:rPr>
          <w:b/>
        </w:rPr>
        <w:t>Office of National Statistics data on education and income levels</w:t>
      </w:r>
    </w:p>
    <w:p w14:paraId="5E47A618" w14:textId="2D2EC01B" w:rsidR="006762CF" w:rsidRDefault="007B5093" w:rsidP="006762CF">
      <w:r>
        <w:t xml:space="preserve">The </w:t>
      </w:r>
      <w:r w:rsidR="006762CF">
        <w:t xml:space="preserve">2021 census data is available on this link.  </w:t>
      </w:r>
    </w:p>
    <w:p w14:paraId="7DBBD323" w14:textId="77777777" w:rsidR="006762CF" w:rsidRDefault="006762CF" w:rsidP="006762CF">
      <w:r w:rsidRPr="00AF6786">
        <w:rPr>
          <w:highlight w:val="yellow"/>
        </w:rPr>
        <w:t>https://www.nomisweb.co.uk/reports/lmp/wpca/1929380157/report.aspx</w:t>
      </w:r>
      <w:proofErr w:type="gramStart"/>
      <w:r w:rsidRPr="00AF6786">
        <w:rPr>
          <w:highlight w:val="yellow"/>
        </w:rPr>
        <w:t>?town</w:t>
      </w:r>
      <w:proofErr w:type="gramEnd"/>
      <w:r w:rsidRPr="00AF6786">
        <w:rPr>
          <w:highlight w:val="yellow"/>
        </w:rPr>
        <w:t>=North%20east%20Somerset</w:t>
      </w:r>
    </w:p>
    <w:p w14:paraId="7F776E55" w14:textId="6E935C10" w:rsidR="006762CF" w:rsidRDefault="00DE4D72" w:rsidP="006762CF">
      <w:r>
        <w:t xml:space="preserve">Employment levels in the constituency are high and </w:t>
      </w:r>
      <w:r w:rsidR="006762CF">
        <w:t>most em</w:t>
      </w:r>
      <w:r>
        <w:t>ployment is</w:t>
      </w:r>
      <w:r w:rsidR="006762CF">
        <w:t xml:space="preserve"> in micro sized enterprises.  Qualification levels are above both the national and South West region average.</w:t>
      </w:r>
    </w:p>
    <w:p w14:paraId="22C90D41" w14:textId="77777777" w:rsidR="006762CF" w:rsidRDefault="006762CF"/>
    <w:p w14:paraId="25797F12" w14:textId="758C9529" w:rsidR="00FB6AC4" w:rsidRPr="007E3B72" w:rsidRDefault="007B5093">
      <w:pPr>
        <w:rPr>
          <w:b/>
        </w:rPr>
      </w:pPr>
      <w:r>
        <w:rPr>
          <w:b/>
        </w:rPr>
        <w:t xml:space="preserve">5. </w:t>
      </w:r>
      <w:r w:rsidR="006762CF">
        <w:rPr>
          <w:b/>
        </w:rPr>
        <w:t>M</w:t>
      </w:r>
      <w:r w:rsidR="009F5558" w:rsidRPr="00FB6AC4">
        <w:rPr>
          <w:b/>
        </w:rPr>
        <w:t>embers</w:t>
      </w:r>
      <w:r w:rsidR="006762CF">
        <w:rPr>
          <w:b/>
        </w:rPr>
        <w:t xml:space="preserve"> and staff</w:t>
      </w:r>
    </w:p>
    <w:p w14:paraId="42F6DE2D" w14:textId="263FB312" w:rsidR="009F5558" w:rsidRDefault="006762CF">
      <w:r w:rsidRPr="006762CF">
        <w:t xml:space="preserve">The local party employs two staff members and we hope to add to this team for the run up to the local elections in 2023.  </w:t>
      </w:r>
      <w:r w:rsidR="00F31A96">
        <w:t xml:space="preserve">  The two constituencies work together to give help to targeted seats and ensure the best possible results.  </w:t>
      </w:r>
      <w:r w:rsidR="007B5093">
        <w:t>In 2019</w:t>
      </w:r>
      <w:proofErr w:type="gramStart"/>
      <w:r w:rsidR="00DE4D72">
        <w:t xml:space="preserve">, </w:t>
      </w:r>
      <w:r w:rsidR="007B5093">
        <w:t xml:space="preserve"> 250</w:t>
      </w:r>
      <w:proofErr w:type="gramEnd"/>
      <w:r w:rsidR="007B5093">
        <w:t xml:space="preserve"> volunteers helped in North East Somerset,.  There is an active local</w:t>
      </w:r>
      <w:r w:rsidR="00F31A96">
        <w:t xml:space="preserve"> party </w:t>
      </w:r>
      <w:r w:rsidR="007B5093">
        <w:t xml:space="preserve">for Bath and NE Somerset </w:t>
      </w:r>
      <w:r w:rsidR="00F31A96">
        <w:t>and fund-raising is an important function.</w:t>
      </w:r>
    </w:p>
    <w:p w14:paraId="13B64A8E" w14:textId="77777777" w:rsidR="009F5558" w:rsidRDefault="009F5558"/>
    <w:p w14:paraId="69DDD54C" w14:textId="2FDFC0B4" w:rsidR="00BA0BF0" w:rsidRDefault="007B5093" w:rsidP="00192EFF">
      <w:r>
        <w:rPr>
          <w:b/>
        </w:rPr>
        <w:t xml:space="preserve">6. </w:t>
      </w:r>
      <w:r w:rsidR="00F31A96" w:rsidRPr="00192EFF">
        <w:rPr>
          <w:b/>
        </w:rPr>
        <w:t>Priorities</w:t>
      </w:r>
      <w:r w:rsidR="009F5558" w:rsidRPr="00192EFF">
        <w:rPr>
          <w:b/>
        </w:rPr>
        <w:t xml:space="preserve"> for the constituency</w:t>
      </w:r>
      <w:r w:rsidR="009F5558">
        <w:t xml:space="preserve"> </w:t>
      </w:r>
    </w:p>
    <w:p w14:paraId="7E4CBBE4" w14:textId="60D1209F" w:rsidR="00BA0BF0" w:rsidRDefault="00BA0BF0" w:rsidP="00192EFF">
      <w:r>
        <w:t>Priorities for the constituency for the Liberal Democrats include:</w:t>
      </w:r>
    </w:p>
    <w:p w14:paraId="51DD6B46" w14:textId="7BB2F97D" w:rsidR="00BA0BF0" w:rsidRDefault="00BA0BF0" w:rsidP="00AF6786">
      <w:pPr>
        <w:pStyle w:val="ListParagraph"/>
        <w:numPr>
          <w:ilvl w:val="0"/>
          <w:numId w:val="4"/>
        </w:numPr>
      </w:pPr>
      <w:r>
        <w:t>Creating more green sustainable travel links to Bath and Bristol from NE Somerset</w:t>
      </w:r>
    </w:p>
    <w:p w14:paraId="36692B68" w14:textId="6697F973" w:rsidR="00BA0BF0" w:rsidRDefault="00193146" w:rsidP="00AF6786">
      <w:pPr>
        <w:pStyle w:val="ListParagraph"/>
        <w:numPr>
          <w:ilvl w:val="0"/>
          <w:numId w:val="4"/>
        </w:numPr>
      </w:pPr>
      <w:r>
        <w:t>Improving rural internet connectivity</w:t>
      </w:r>
    </w:p>
    <w:p w14:paraId="03156388" w14:textId="6F498E96" w:rsidR="00193146" w:rsidRDefault="00193146" w:rsidP="00AF6786">
      <w:pPr>
        <w:pStyle w:val="ListParagraph"/>
        <w:numPr>
          <w:ilvl w:val="0"/>
          <w:numId w:val="4"/>
        </w:numPr>
      </w:pPr>
      <w:r>
        <w:t>Achieving BANES 2030 Net Zero Target including opposition to the expansion of Bristol Airport</w:t>
      </w:r>
    </w:p>
    <w:p w14:paraId="73F01137" w14:textId="0C65B7B0" w:rsidR="00193146" w:rsidRDefault="00193146" w:rsidP="00AF6786">
      <w:pPr>
        <w:pStyle w:val="ListParagraph"/>
        <w:numPr>
          <w:ilvl w:val="0"/>
          <w:numId w:val="4"/>
        </w:numPr>
      </w:pPr>
      <w:r>
        <w:t>Building more affordable homes in the right locations</w:t>
      </w:r>
    </w:p>
    <w:p w14:paraId="5BD16D94" w14:textId="208E7BE6" w:rsidR="00193146" w:rsidRDefault="00193146" w:rsidP="00AF6786">
      <w:pPr>
        <w:pStyle w:val="ListParagraph"/>
        <w:numPr>
          <w:ilvl w:val="0"/>
          <w:numId w:val="4"/>
        </w:numPr>
      </w:pPr>
      <w:r>
        <w:t>Investing in town centres</w:t>
      </w:r>
    </w:p>
    <w:p w14:paraId="35448426" w14:textId="15DB4D99" w:rsidR="00193146" w:rsidRDefault="00193146" w:rsidP="00AF6786">
      <w:pPr>
        <w:pStyle w:val="ListParagraph"/>
        <w:numPr>
          <w:ilvl w:val="0"/>
          <w:numId w:val="4"/>
        </w:numPr>
      </w:pPr>
      <w:r>
        <w:t>Keeping rural buses</w:t>
      </w:r>
      <w:r w:rsidR="00F31A96">
        <w:t>.</w:t>
      </w:r>
    </w:p>
    <w:p w14:paraId="193CABAB" w14:textId="77777777" w:rsidR="00F31A96" w:rsidRDefault="00F31A96" w:rsidP="00192EFF"/>
    <w:p w14:paraId="479284BB" w14:textId="36AB03E8" w:rsidR="00F31A96" w:rsidRDefault="00F31A96" w:rsidP="00192EFF">
      <w:r>
        <w:t>The 2019 local man</w:t>
      </w:r>
      <w:r w:rsidR="002163CF">
        <w:t>ifesto is included in the pack along with a leaflet on local priorities from the last General Election.</w:t>
      </w:r>
    </w:p>
    <w:p w14:paraId="0F2FE235" w14:textId="77777777" w:rsidR="004D18C5" w:rsidRDefault="004D18C5" w:rsidP="004D18C5">
      <w:pPr>
        <w:rPr>
          <w:b/>
        </w:rPr>
      </w:pPr>
    </w:p>
    <w:p w14:paraId="68C03671" w14:textId="77777777" w:rsidR="007B5093" w:rsidRDefault="007B5093" w:rsidP="004D18C5">
      <w:pPr>
        <w:rPr>
          <w:b/>
        </w:rPr>
      </w:pPr>
    </w:p>
    <w:p w14:paraId="2A323B70" w14:textId="35F08F8F" w:rsidR="004D18C5" w:rsidRDefault="007B5093" w:rsidP="004D18C5">
      <w:pPr>
        <w:rPr>
          <w:b/>
        </w:rPr>
      </w:pPr>
      <w:r>
        <w:rPr>
          <w:b/>
        </w:rPr>
        <w:t xml:space="preserve">7. </w:t>
      </w:r>
      <w:r w:rsidR="004D18C5">
        <w:rPr>
          <w:b/>
        </w:rPr>
        <w:t xml:space="preserve">Probable boundary changes in </w:t>
      </w:r>
      <w:r w:rsidR="004D18C5" w:rsidRPr="004D18C5">
        <w:rPr>
          <w:b/>
        </w:rPr>
        <w:t xml:space="preserve">July 2023.  </w:t>
      </w:r>
    </w:p>
    <w:p w14:paraId="2C48F229" w14:textId="77777777" w:rsidR="003F02A2" w:rsidRDefault="004D18C5" w:rsidP="004D18C5">
      <w:r w:rsidRPr="00D0462A">
        <w:t xml:space="preserve">The boundary commission has </w:t>
      </w:r>
      <w:r w:rsidR="00D0462A" w:rsidRPr="00D0462A">
        <w:t>consulted on possible boundary changes in the South West and these include changes to the NE Somerset Seat.  It will be renamed Keynsham and NE</w:t>
      </w:r>
      <w:r w:rsidR="0054103B">
        <w:t xml:space="preserve"> Somerset and include four</w:t>
      </w:r>
      <w:r w:rsidR="00D0462A" w:rsidRPr="00D0462A">
        <w:t xml:space="preserve"> w</w:t>
      </w:r>
      <w:r w:rsidR="0054103B">
        <w:t xml:space="preserve">ards from South Gloucestershire.   </w:t>
      </w:r>
    </w:p>
    <w:p w14:paraId="30251565" w14:textId="301B8E1A" w:rsidR="00D0462A" w:rsidRDefault="003F02A2" w:rsidP="004D18C5">
      <w:r>
        <w:t xml:space="preserve">The Liberal Democrats have 6 Councillors on Bath and NE Somerset Council from this area. We are also </w:t>
      </w:r>
      <w:proofErr w:type="gramStart"/>
      <w:r>
        <w:t>expect</w:t>
      </w:r>
      <w:proofErr w:type="gramEnd"/>
      <w:r>
        <w:t xml:space="preserve"> to win a few more seats in the local elections in May 2022.   The South </w:t>
      </w:r>
      <w:proofErr w:type="gramStart"/>
      <w:r>
        <w:t xml:space="preserve">Gloucestershire </w:t>
      </w:r>
      <w:r w:rsidR="0054103B">
        <w:t xml:space="preserve"> wards</w:t>
      </w:r>
      <w:proofErr w:type="gramEnd"/>
      <w:r w:rsidR="0054103B">
        <w:t xml:space="preserve"> are all held by Conservative Councillors.  Liberal Democrats in South Gloucestershire have </w:t>
      </w:r>
      <w:r w:rsidR="007C1CF7">
        <w:t xml:space="preserve">increased their representation to </w:t>
      </w:r>
      <w:r w:rsidR="00DA4BB1">
        <w:t xml:space="preserve">19 Councillors </w:t>
      </w:r>
      <w:r w:rsidR="007C1CF7">
        <w:t xml:space="preserve">with potential to </w:t>
      </w:r>
      <w:r w:rsidR="00C5519F">
        <w:t>in</w:t>
      </w:r>
      <w:r w:rsidR="007B5093">
        <w:t xml:space="preserve">crease the Lib Dem vote in the wards coming into the constituency.  The results of the </w:t>
      </w:r>
      <w:r w:rsidR="00DE4D72">
        <w:t xml:space="preserve">2019 </w:t>
      </w:r>
      <w:r w:rsidR="007B5093">
        <w:t>local elections in these wards show that the Conservatives only achieved 16% of the</w:t>
      </w:r>
      <w:r>
        <w:t xml:space="preserve"> possible </w:t>
      </w:r>
      <w:r w:rsidR="007B5093">
        <w:t>vote in Hanham r</w:t>
      </w:r>
      <w:r>
        <w:t>anging to 30% in Longwell Green, turn outs were very low.</w:t>
      </w:r>
    </w:p>
    <w:p w14:paraId="2C2739CA" w14:textId="77777777" w:rsidR="003F02A2" w:rsidRPr="00D0462A" w:rsidRDefault="003F02A2" w:rsidP="004D18C5"/>
    <w:p w14:paraId="73D3C1C4" w14:textId="61B81D30" w:rsidR="00D0462A" w:rsidRPr="00D0462A" w:rsidRDefault="00D0462A" w:rsidP="004D18C5">
      <w:r w:rsidRPr="00D0462A">
        <w:t xml:space="preserve">It is proposed that Midsomer Norton, </w:t>
      </w:r>
      <w:r w:rsidR="007B5093" w:rsidRPr="00D0462A">
        <w:t>Radstock,</w:t>
      </w:r>
      <w:r w:rsidRPr="00D0462A">
        <w:t xml:space="preserve"> Peasedown and Bathavon South </w:t>
      </w:r>
      <w:r w:rsidR="00C5519F">
        <w:t xml:space="preserve">and North will all be moved out of the seat – they include </w:t>
      </w:r>
      <w:r w:rsidR="00034EEB">
        <w:t>5 Lib Dem Councillors, 3 Labour Councillors, 3 Independents and 3 Conservatives.</w:t>
      </w:r>
    </w:p>
    <w:p w14:paraId="6A8A95EA" w14:textId="5D4987B9" w:rsidR="00D0462A" w:rsidRPr="00D0462A" w:rsidRDefault="00D0462A" w:rsidP="004D18C5">
      <w:r w:rsidRPr="00D0462A">
        <w:t xml:space="preserve"> To see full information on</w:t>
      </w:r>
      <w:r w:rsidR="00034EEB">
        <w:t xml:space="preserve"> these changes please go to the boundary commission</w:t>
      </w:r>
      <w:r w:rsidRPr="00D0462A">
        <w:t xml:space="preserve"> web site.</w:t>
      </w:r>
    </w:p>
    <w:p w14:paraId="641F07A2" w14:textId="77777777" w:rsidR="004D18C5" w:rsidRPr="00D0462A" w:rsidRDefault="004D18C5" w:rsidP="004D18C5"/>
    <w:p w14:paraId="1574CACA" w14:textId="2365B079" w:rsidR="004D18C5" w:rsidRPr="00D0462A" w:rsidRDefault="004D18C5" w:rsidP="004D18C5">
      <w:r w:rsidRPr="00AF6786">
        <w:rPr>
          <w:highlight w:val="yellow"/>
        </w:rPr>
        <w:t>https://boundarycommissionforengland.independent.gov.uk/2023-review/south-west/</w:t>
      </w:r>
    </w:p>
    <w:p w14:paraId="0B399C26" w14:textId="77777777" w:rsidR="00BA0BF0" w:rsidRPr="00D0462A" w:rsidRDefault="00BA0BF0" w:rsidP="00192EFF"/>
    <w:p w14:paraId="48E6C085" w14:textId="77777777" w:rsidR="00192EFF" w:rsidRDefault="00192EFF"/>
    <w:p w14:paraId="45071085" w14:textId="77777777" w:rsidR="009F5558" w:rsidRDefault="009F5558"/>
    <w:p w14:paraId="0E75F46C" w14:textId="77777777" w:rsidR="009F5558" w:rsidRDefault="009F5558"/>
    <w:p w14:paraId="5E2E8BA7" w14:textId="77777777" w:rsidR="006A67BA" w:rsidRDefault="009F5558">
      <w:r>
        <w:t xml:space="preserve"> </w:t>
      </w:r>
    </w:p>
    <w:p w14:paraId="28A2E6D1" w14:textId="24F46580" w:rsidR="009F5558" w:rsidRDefault="006A67BA" w:rsidP="00166003">
      <w:pPr>
        <w:pStyle w:val="Heading1"/>
        <w:jc w:val="center"/>
      </w:pPr>
      <w:r>
        <w:rPr>
          <w:rFonts w:ascii="Times" w:hAnsi="Times" w:cs="Times"/>
          <w:u w:color="000000"/>
          <w:lang w:val="en-US"/>
        </w:rPr>
        <w:br w:type="page"/>
      </w:r>
      <w:bookmarkStart w:id="0" w:name="_GoBack"/>
      <w:bookmarkEnd w:id="0"/>
      <w:r w:rsidR="00166003">
        <w:t xml:space="preserve"> </w:t>
      </w:r>
    </w:p>
    <w:p w14:paraId="0C7DA59D" w14:textId="77777777" w:rsidR="009F5558" w:rsidRDefault="009F5558"/>
    <w:sectPr w:rsidR="009F5558" w:rsidSect="00D3155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3AE"/>
    <w:multiLevelType w:val="hybridMultilevel"/>
    <w:tmpl w:val="BD04FA06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62668"/>
    <w:multiLevelType w:val="hybridMultilevel"/>
    <w:tmpl w:val="1676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736DD"/>
    <w:multiLevelType w:val="hybridMultilevel"/>
    <w:tmpl w:val="D0A4E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274A5"/>
    <w:multiLevelType w:val="hybridMultilevel"/>
    <w:tmpl w:val="7312ED8C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58"/>
    <w:rsid w:val="00034EEB"/>
    <w:rsid w:val="000B2B12"/>
    <w:rsid w:val="00166003"/>
    <w:rsid w:val="00192EFF"/>
    <w:rsid w:val="00193146"/>
    <w:rsid w:val="002163CF"/>
    <w:rsid w:val="003E6CE4"/>
    <w:rsid w:val="003F02A2"/>
    <w:rsid w:val="00433796"/>
    <w:rsid w:val="00473CD6"/>
    <w:rsid w:val="004749FC"/>
    <w:rsid w:val="00487928"/>
    <w:rsid w:val="004D18C5"/>
    <w:rsid w:val="004D7865"/>
    <w:rsid w:val="0054103B"/>
    <w:rsid w:val="005A1A5A"/>
    <w:rsid w:val="006762CF"/>
    <w:rsid w:val="006A67BA"/>
    <w:rsid w:val="00765E26"/>
    <w:rsid w:val="007B5093"/>
    <w:rsid w:val="007C1CF7"/>
    <w:rsid w:val="007E3B72"/>
    <w:rsid w:val="00810B95"/>
    <w:rsid w:val="008461B0"/>
    <w:rsid w:val="00883201"/>
    <w:rsid w:val="00953CB0"/>
    <w:rsid w:val="009544A3"/>
    <w:rsid w:val="009F5558"/>
    <w:rsid w:val="00A6026F"/>
    <w:rsid w:val="00A8096A"/>
    <w:rsid w:val="00AF6786"/>
    <w:rsid w:val="00B61F02"/>
    <w:rsid w:val="00BA0BF0"/>
    <w:rsid w:val="00C5519F"/>
    <w:rsid w:val="00C57B75"/>
    <w:rsid w:val="00CA6145"/>
    <w:rsid w:val="00D0462A"/>
    <w:rsid w:val="00D3155C"/>
    <w:rsid w:val="00DA4BB1"/>
    <w:rsid w:val="00DE4D72"/>
    <w:rsid w:val="00DF5DE6"/>
    <w:rsid w:val="00E12810"/>
    <w:rsid w:val="00E25650"/>
    <w:rsid w:val="00E44BC4"/>
    <w:rsid w:val="00E930F0"/>
    <w:rsid w:val="00EA1ADD"/>
    <w:rsid w:val="00EA31E1"/>
    <w:rsid w:val="00EE7ADC"/>
    <w:rsid w:val="00EF372A"/>
    <w:rsid w:val="00F0690E"/>
    <w:rsid w:val="00F31A96"/>
    <w:rsid w:val="00F55AA5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EFD7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A31E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31E1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A31E1"/>
  </w:style>
  <w:style w:type="paragraph" w:styleId="NormalWeb">
    <w:name w:val="Normal (Web)"/>
    <w:basedOn w:val="Normal"/>
    <w:uiPriority w:val="99"/>
    <w:unhideWhenUsed/>
    <w:rsid w:val="00EA31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">
    <w:name w:val="text"/>
    <w:basedOn w:val="DefaultParagraphFont"/>
    <w:rsid w:val="00EA31E1"/>
  </w:style>
  <w:style w:type="paragraph" w:styleId="BalloonText">
    <w:name w:val="Balloon Text"/>
    <w:basedOn w:val="Normal"/>
    <w:link w:val="BalloonTextChar"/>
    <w:uiPriority w:val="99"/>
    <w:semiHidden/>
    <w:unhideWhenUsed/>
    <w:rsid w:val="00A809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6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2C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63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163CF"/>
    <w:pPr>
      <w:spacing w:after="160" w:line="259" w:lineRule="auto"/>
      <w:ind w:left="720"/>
      <w:contextualSpacing/>
      <w:jc w:val="both"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A31E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31E1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A31E1"/>
  </w:style>
  <w:style w:type="paragraph" w:styleId="NormalWeb">
    <w:name w:val="Normal (Web)"/>
    <w:basedOn w:val="Normal"/>
    <w:uiPriority w:val="99"/>
    <w:unhideWhenUsed/>
    <w:rsid w:val="00EA31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">
    <w:name w:val="text"/>
    <w:basedOn w:val="DefaultParagraphFont"/>
    <w:rsid w:val="00EA31E1"/>
  </w:style>
  <w:style w:type="paragraph" w:styleId="BalloonText">
    <w:name w:val="Balloon Text"/>
    <w:basedOn w:val="Normal"/>
    <w:link w:val="BalloonTextChar"/>
    <w:uiPriority w:val="99"/>
    <w:semiHidden/>
    <w:unhideWhenUsed/>
    <w:rsid w:val="00A809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6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2C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63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163CF"/>
    <w:pPr>
      <w:spacing w:after="160" w:line="259" w:lineRule="auto"/>
      <w:ind w:left="720"/>
      <w:contextualSpacing/>
      <w:jc w:val="both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8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0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1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9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2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2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0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1" w:color="717171"/>
            <w:right w:val="none" w:sz="0" w:space="0" w:color="auto"/>
          </w:divBdr>
        </w:div>
        <w:div w:id="182932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EBE9E8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bathnes.gov.uk/sites/default/files/current_economic_strategy_doc_10022015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1099</Words>
  <Characters>6269</Characters>
  <Application>Microsoft Macintosh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Jackson</dc:creator>
  <cp:keywords/>
  <dc:description/>
  <cp:lastModifiedBy>Claire Jackson</cp:lastModifiedBy>
  <cp:revision>15</cp:revision>
  <dcterms:created xsi:type="dcterms:W3CDTF">2022-05-11T08:29:00Z</dcterms:created>
  <dcterms:modified xsi:type="dcterms:W3CDTF">2022-12-07T16:16:00Z</dcterms:modified>
</cp:coreProperties>
</file>