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Subject line: Vote "No" on HB 1119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 public school parent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[in ADD YOUR COUNTY]</w:t>
      </w:r>
      <w:r w:rsidDel="00000000" w:rsidR="00000000" w:rsidRPr="00000000">
        <w:rPr>
          <w:rtl w:val="0"/>
        </w:rPr>
        <w:t xml:space="preserve">, I’m writing to urge you to oppose HB 1119 when it comes before you tomorrow in the Education Administration Subcommittee meeting. This bill takes decision-making away from parents, educators, and local communities and hands it to the Florida Department of Education, eliminating local discretion over school library materials.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HB 1119 doesn’t just change a process, it tilts the scales. If a book is removed, parents who want their children to have access to it have no meaningful appeal. Local review committees would also be blocked from considering a book’s educational, literary, or historical value if a single sexual reference exists anywhere in the text. That means classic and award-winning literature could be swept out of school libraries based on isolated lines taken out of context. In practice, this becomes a statewide book ban enforced through fear: fear of funding loss, penalties, and political retaliation.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bill also raises serious legal concerns. Similar language was struck down last year in </w:t>
      </w:r>
      <w:r w:rsidDel="00000000" w:rsidR="00000000" w:rsidRPr="00000000">
        <w:rPr>
          <w:i w:val="1"/>
          <w:iCs w:val="1"/>
          <w:rtl w:val="0"/>
        </w:rPr>
        <w:t xml:space="preserve">Penguin Random House LLC v. Gibson</w:t>
      </w:r>
      <w:r w:rsidDel="00000000" w:rsidR="00000000" w:rsidRPr="00000000">
        <w:rPr>
          <w:rtl w:val="0"/>
        </w:rPr>
        <w:t xml:space="preserve"> as unconstitutionally vague, and that case is currently under appeal in the 11th Circuit. Moving forward with HB 1119 now puts school districts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[OPTIONAL: </w:t>
      </w:r>
      <w:r w:rsidDel="00000000" w:rsidR="00000000" w:rsidRPr="00000000">
        <w:rPr>
          <w:color w:val="ff0000"/>
          <w:rtl w:val="0"/>
        </w:rPr>
        <w:t xml:space="preserve">like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Miami-Dade]</w:t>
      </w:r>
      <w:r w:rsidDel="00000000" w:rsidR="00000000" w:rsidRPr="00000000">
        <w:rPr>
          <w:rtl w:val="0"/>
        </w:rPr>
        <w:t xml:space="preserve"> in an impossible position, caught between the risk of state punishment on one side and legal exposure on the other. HB 1119 also weakens constitutional protections by removing the long-standing requirement that materials be evaluated as a whole for serious literary, artistic, political, or scientific value.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result will be predictable: more costly litigation, more over-removal out of fear, less academic rigor, and fewer opportunities for students to access challenging, college-level reading. And once again, public school students will face the strictest restrictions, while private schools receiving public funds operate under fewer limits.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Let’s be honest about what this is. When books are removed statewide from public school libraries regardless of parental support and local review, Floridians will rightly call it book banning.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respectfully ask you to oppose HB 1119, and to pause further action until the courts rule, in order to protect parental rights, local control, and the Constitution.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time and consideration.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color w:val="ff0000"/>
          <w:rtl w:val="0"/>
        </w:rPr>
        <w:t xml:space="preserve">NAME</w:t>
        <w:br w:type="textWrapping"/>
        <w:t xml:space="preserve">ADDRESS OR JUST CITY/STATE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