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404B" w14:textId="77777777" w:rsidR="0078240C" w:rsidRPr="009B03F4" w:rsidRDefault="0078240C" w:rsidP="0078240C">
      <w:pPr>
        <w:rPr>
          <w:lang w:val="en-AU"/>
        </w:rPr>
      </w:pPr>
      <w:r w:rsidRPr="009B03F4">
        <w:rPr>
          <w:lang w:val="en-AU"/>
        </w:rPr>
        <w:t>Name</w:t>
      </w:r>
    </w:p>
    <w:p w14:paraId="1D7035E6" w14:textId="77777777" w:rsidR="0078240C" w:rsidRPr="009B03F4" w:rsidRDefault="0078240C" w:rsidP="0078240C">
      <w:pPr>
        <w:rPr>
          <w:lang w:val="en-AU"/>
        </w:rPr>
      </w:pPr>
      <w:r w:rsidRPr="009B03F4">
        <w:rPr>
          <w:lang w:val="en-AU"/>
        </w:rPr>
        <w:t>Address</w:t>
      </w:r>
    </w:p>
    <w:p w14:paraId="74D068F5" w14:textId="77777777" w:rsidR="0078240C" w:rsidRPr="009B03F4" w:rsidRDefault="0078240C" w:rsidP="0078240C">
      <w:pPr>
        <w:rPr>
          <w:lang w:val="en-AU"/>
        </w:rPr>
      </w:pPr>
      <w:r w:rsidRPr="009B03F4">
        <w:rPr>
          <w:lang w:val="en-AU"/>
        </w:rPr>
        <w:t>Email</w:t>
      </w:r>
    </w:p>
    <w:p w14:paraId="7A5765E1" w14:textId="77777777" w:rsidR="0078240C" w:rsidRPr="009B03F4" w:rsidRDefault="0078240C" w:rsidP="0078240C">
      <w:pPr>
        <w:rPr>
          <w:lang w:val="en-AU"/>
        </w:rPr>
      </w:pPr>
      <w:r w:rsidRPr="009B03F4">
        <w:rPr>
          <w:lang w:val="en-AU"/>
        </w:rPr>
        <w:t>Date:</w:t>
      </w:r>
    </w:p>
    <w:p w14:paraId="4D470AC1" w14:textId="1969F990" w:rsidR="00F82551" w:rsidRPr="00006283" w:rsidRDefault="004B29B8" w:rsidP="00F82551">
      <w:r>
        <w:rPr>
          <w:lang w:val="en-AU"/>
        </w:rPr>
        <w:t>By</w:t>
      </w:r>
      <w:r>
        <w:t xml:space="preserve"> </w:t>
      </w:r>
      <w:r w:rsidR="00F82551" w:rsidRPr="00006283">
        <w:t>Email</w:t>
      </w:r>
      <w:r w:rsidR="00F82551" w:rsidRPr="000D5A35">
        <w:t>:</w:t>
      </w:r>
      <w:r w:rsidR="00F82551" w:rsidRPr="00006283">
        <w:t> </w:t>
      </w:r>
      <w:hyperlink r:id="rId5" w:history="1">
        <w:r w:rsidR="00F82551" w:rsidRPr="000D5A35">
          <w:rPr>
            <w:rStyle w:val="Hyperlink"/>
          </w:rPr>
          <w:t>npws.carbonmethod@environment.nsw.gov.au</w:t>
        </w:r>
      </w:hyperlink>
      <w:r w:rsidR="00F82551" w:rsidRPr="000D5A35">
        <w:t xml:space="preserve">   </w:t>
      </w:r>
    </w:p>
    <w:p w14:paraId="39747271" w14:textId="77777777" w:rsidR="00F82551" w:rsidRPr="00006283" w:rsidRDefault="00F82551" w:rsidP="00F82551">
      <w:r w:rsidRPr="00006283">
        <w:t> </w:t>
      </w:r>
    </w:p>
    <w:p w14:paraId="43573B35" w14:textId="77777777" w:rsidR="00F82551" w:rsidRPr="002C268E" w:rsidRDefault="00F82551" w:rsidP="00F82551">
      <w:r w:rsidRPr="002C268E">
        <w:t>Dear NSW Department of Climate Change, Energy, the Environment,</w:t>
      </w:r>
    </w:p>
    <w:p w14:paraId="04873826" w14:textId="77777777" w:rsidR="00F82551" w:rsidRPr="000D5A35" w:rsidRDefault="00F82551" w:rsidP="00F82551">
      <w:pPr>
        <w:rPr>
          <w:b/>
          <w:bCs/>
        </w:rPr>
      </w:pPr>
    </w:p>
    <w:p w14:paraId="5281BFC1" w14:textId="77777777" w:rsidR="00F82551" w:rsidRPr="000D5A35" w:rsidRDefault="00F82551" w:rsidP="00F82551">
      <w:pPr>
        <w:rPr>
          <w:b/>
          <w:bCs/>
        </w:rPr>
      </w:pPr>
      <w:r w:rsidRPr="002C268E">
        <w:rPr>
          <w:b/>
          <w:bCs/>
        </w:rPr>
        <w:t xml:space="preserve">Submission on Draft </w:t>
      </w:r>
      <w:r w:rsidRPr="000D5A35">
        <w:rPr>
          <w:b/>
          <w:bCs/>
        </w:rPr>
        <w:t>Carbon Credits (Carbon Farming Initiative</w:t>
      </w:r>
      <w:r>
        <w:rPr>
          <w:b/>
          <w:bCs/>
        </w:rPr>
        <w:t xml:space="preserve"> </w:t>
      </w:r>
      <w:r w:rsidRPr="000D5A35">
        <w:rPr>
          <w:b/>
          <w:bCs/>
        </w:rPr>
        <w:t>— Improved Forest Management in Multi-use Public Native Forest) Methodology Determination 2025</w:t>
      </w:r>
    </w:p>
    <w:p w14:paraId="56A6208F" w14:textId="77777777" w:rsidR="00F82551" w:rsidRPr="000D5A35" w:rsidRDefault="00F82551" w:rsidP="00F82551">
      <w:r w:rsidRPr="00006283">
        <w:t> </w:t>
      </w:r>
    </w:p>
    <w:p w14:paraId="3E3BF8CC" w14:textId="77777777" w:rsidR="00F82551" w:rsidRPr="002C268E" w:rsidRDefault="00F82551" w:rsidP="00F82551">
      <w:r w:rsidRPr="002C268E">
        <w:t>Please accept my feedback into the proposed Improved Native Forest Management (INFM) in Multiple-use Public Native Forests method, under the Australian Carbon Credit Unit Scheme.</w:t>
      </w:r>
    </w:p>
    <w:p w14:paraId="1DC484B3" w14:textId="77777777" w:rsidR="00F82551" w:rsidRPr="002C268E" w:rsidRDefault="00F82551" w:rsidP="00F82551">
      <w:r w:rsidRPr="002C268E">
        <w:t>I welcome the recognition in the draft INFM method of the vital role native forests play in carbon sequestration and storage, and the acknowledgment of the economic cost of emissions from logging.</w:t>
      </w:r>
    </w:p>
    <w:p w14:paraId="172391A9" w14:textId="77777777" w:rsidR="00F82551" w:rsidRPr="002C268E" w:rsidRDefault="00F82551" w:rsidP="00F82551">
      <w:r w:rsidRPr="002C268E">
        <w:t xml:space="preserve">However, I support the following recommendations to strengthen the proposed method </w:t>
      </w:r>
      <w:r w:rsidRPr="000D5A35">
        <w:t>to</w:t>
      </w:r>
      <w:r w:rsidRPr="002C268E">
        <w:t xml:space="preserve"> ensure it delivers genuine climate and biodiversity benefits:</w:t>
      </w:r>
    </w:p>
    <w:p w14:paraId="5D602A63" w14:textId="77777777" w:rsidR="00F82551" w:rsidRPr="00F82551" w:rsidRDefault="00F82551" w:rsidP="0078240C"/>
    <w:p w14:paraId="11EE14B3" w14:textId="206F0489" w:rsidR="0078240C" w:rsidRPr="009407F8" w:rsidRDefault="0078240C" w:rsidP="0078240C">
      <w:pPr>
        <w:rPr>
          <w:lang w:val="en-AU"/>
        </w:rPr>
      </w:pPr>
      <w:r w:rsidRPr="009407F8">
        <w:rPr>
          <w:b/>
          <w:bCs/>
          <w:lang w:val="en-AU"/>
        </w:rPr>
        <w:t>Recommendation 1</w:t>
      </w:r>
    </w:p>
    <w:p w14:paraId="759CD25E" w14:textId="3E502420" w:rsidR="0078240C" w:rsidRPr="00881804" w:rsidRDefault="2635DBB8" w:rsidP="0078240C">
      <w:pPr>
        <w:rPr>
          <w:lang w:val="en-AU"/>
        </w:rPr>
      </w:pPr>
      <w:r w:rsidRPr="0B7C1147">
        <w:rPr>
          <w:lang w:val="en-AU"/>
        </w:rPr>
        <w:t>Remove</w:t>
      </w:r>
      <w:r w:rsidR="0078240C" w:rsidRPr="00881804">
        <w:rPr>
          <w:lang w:val="en-AU"/>
        </w:rPr>
        <w:t xml:space="preserve"> Part 2, Section 8 - </w:t>
      </w:r>
      <w:r w:rsidR="0078240C" w:rsidRPr="00881804">
        <w:rPr>
          <w:i/>
          <w:iCs/>
          <w:lang w:val="en-AU"/>
        </w:rPr>
        <w:t xml:space="preserve">Projects to reduce timber harvesting by deferral of harvesting </w:t>
      </w:r>
      <w:r w:rsidR="0078240C" w:rsidRPr="00881804">
        <w:rPr>
          <w:lang w:val="en-AU"/>
        </w:rPr>
        <w:t>from the method</w:t>
      </w:r>
    </w:p>
    <w:p w14:paraId="0A0CBAB4" w14:textId="454BD3E6" w:rsidR="000954C8" w:rsidRPr="009407F8" w:rsidRDefault="58F86DF2" w:rsidP="0B7C1147">
      <w:pPr>
        <w:rPr>
          <w:i/>
          <w:iCs/>
          <w:lang w:val="en-AU"/>
        </w:rPr>
      </w:pPr>
      <w:r w:rsidRPr="0B7C1147">
        <w:rPr>
          <w:i/>
          <w:iCs/>
          <w:lang w:val="en-AU"/>
        </w:rPr>
        <w:t>Rationale:</w:t>
      </w:r>
    </w:p>
    <w:p w14:paraId="16EBE9F0" w14:textId="7E6B90A8" w:rsidR="000954C8" w:rsidRPr="009407F8" w:rsidRDefault="00F830B9" w:rsidP="0B7C1147">
      <w:pPr>
        <w:rPr>
          <w:lang w:val="en-AU"/>
        </w:rPr>
      </w:pPr>
      <w:r w:rsidRPr="00F830B9">
        <w:rPr>
          <w:lang w:val="en-AU"/>
        </w:rPr>
        <w:t xml:space="preserve">The integrity of the </w:t>
      </w:r>
      <w:r w:rsidR="16BBD0FC" w:rsidRPr="0B7C1147">
        <w:rPr>
          <w:lang w:val="en-AU"/>
        </w:rPr>
        <w:t xml:space="preserve">whole </w:t>
      </w:r>
      <w:r w:rsidRPr="00F830B9">
        <w:rPr>
          <w:lang w:val="en-AU"/>
        </w:rPr>
        <w:t xml:space="preserve">method and the credits generated </w:t>
      </w:r>
      <w:r w:rsidR="316FA219" w:rsidRPr="0B7C1147">
        <w:rPr>
          <w:lang w:val="en-AU"/>
        </w:rPr>
        <w:t>would be</w:t>
      </w:r>
      <w:r w:rsidRPr="00F830B9">
        <w:rPr>
          <w:lang w:val="en-AU"/>
        </w:rPr>
        <w:t xml:space="preserve"> significantly </w:t>
      </w:r>
      <w:r>
        <w:rPr>
          <w:lang w:val="en-AU"/>
        </w:rPr>
        <w:t>c</w:t>
      </w:r>
      <w:r w:rsidRPr="00F830B9">
        <w:rPr>
          <w:lang w:val="en-AU"/>
        </w:rPr>
        <w:t xml:space="preserve">ompromised by the inclusion of this </w:t>
      </w:r>
      <w:r w:rsidR="0CDF6A3B" w:rsidRPr="0B7C1147">
        <w:rPr>
          <w:lang w:val="en-AU"/>
        </w:rPr>
        <w:t xml:space="preserve">high-risk </w:t>
      </w:r>
      <w:r w:rsidRPr="00F830B9">
        <w:rPr>
          <w:lang w:val="en-AU"/>
        </w:rPr>
        <w:t>activity.</w:t>
      </w:r>
      <w:r w:rsidR="000954C8">
        <w:rPr>
          <w:lang w:val="en-AU"/>
        </w:rPr>
        <w:t xml:space="preserve"> </w:t>
      </w:r>
      <w:r w:rsidR="000954C8" w:rsidRPr="000954C8">
        <w:rPr>
          <w:lang w:val="en-AU"/>
        </w:rPr>
        <w:t>Logging could also be intensified</w:t>
      </w:r>
      <w:r w:rsidR="009A0092">
        <w:rPr>
          <w:lang w:val="en-AU"/>
        </w:rPr>
        <w:t xml:space="preserve"> in some areas,</w:t>
      </w:r>
      <w:r w:rsidR="000954C8" w:rsidRPr="000954C8">
        <w:rPr>
          <w:lang w:val="en-AU"/>
        </w:rPr>
        <w:t xml:space="preserve"> leading to increased habitat destruction.</w:t>
      </w:r>
      <w:r w:rsidR="00655C12">
        <w:rPr>
          <w:lang w:val="en-AU"/>
        </w:rPr>
        <w:t xml:space="preserve"> </w:t>
      </w:r>
      <w:r w:rsidR="37B4F7D6" w:rsidRPr="0B7C1147">
        <w:rPr>
          <w:lang w:val="en-AU"/>
        </w:rPr>
        <w:t xml:space="preserve">Cessation of logging has huge biodiversity benefits, but deferral of harvesting has far </w:t>
      </w:r>
      <w:r w:rsidR="16647255" w:rsidRPr="0B7C1147">
        <w:rPr>
          <w:lang w:val="en-AU"/>
        </w:rPr>
        <w:t>fewer co-</w:t>
      </w:r>
      <w:r w:rsidR="37B4F7D6" w:rsidRPr="0B7C1147">
        <w:rPr>
          <w:lang w:val="en-AU"/>
        </w:rPr>
        <w:t>benefits, due to the disturbance of ecosystems a</w:t>
      </w:r>
      <w:r w:rsidR="0EAC4C67" w:rsidRPr="0B7C1147">
        <w:rPr>
          <w:lang w:val="en-AU"/>
        </w:rPr>
        <w:t>nd removal of hollow-bearing trees and hollow-bearing recruitment trees. Information asymmetry is</w:t>
      </w:r>
      <w:r w:rsidR="0EAC4C67" w:rsidRPr="0B7C1147">
        <w:rPr>
          <w:lang w:val="en-AU"/>
        </w:rPr>
        <w:t xml:space="preserve"> </w:t>
      </w:r>
      <w:r w:rsidR="0EAC4C67" w:rsidRPr="0B7C1147">
        <w:rPr>
          <w:lang w:val="en-AU"/>
        </w:rPr>
        <w:t>a big risk in this activity</w:t>
      </w:r>
      <w:r w:rsidR="32A7588F" w:rsidRPr="6E16E7C1">
        <w:rPr>
          <w:lang w:val="en-AU"/>
        </w:rPr>
        <w:t>, and risks</w:t>
      </w:r>
      <w:r w:rsidR="32A7588F" w:rsidRPr="3D14ADDA">
        <w:rPr>
          <w:lang w:val="en-AU"/>
        </w:rPr>
        <w:t xml:space="preserve"> allowing </w:t>
      </w:r>
      <w:r w:rsidR="32A7588F" w:rsidRPr="3009EED9">
        <w:rPr>
          <w:lang w:val="en-AU"/>
        </w:rPr>
        <w:lastRenderedPageBreak/>
        <w:t xml:space="preserve">credits to be </w:t>
      </w:r>
      <w:r w:rsidR="32A7588F" w:rsidRPr="6322C765">
        <w:rPr>
          <w:lang w:val="en-AU"/>
        </w:rPr>
        <w:t xml:space="preserve">generated from </w:t>
      </w:r>
      <w:r w:rsidR="32A7588F" w:rsidRPr="63FC5B5B">
        <w:rPr>
          <w:lang w:val="en-AU"/>
        </w:rPr>
        <w:t xml:space="preserve">reductions in logging that </w:t>
      </w:r>
      <w:r w:rsidR="32A7588F" w:rsidRPr="5343F5F6">
        <w:rPr>
          <w:lang w:val="en-AU"/>
        </w:rPr>
        <w:t>were going to happen anyway</w:t>
      </w:r>
      <w:r w:rsidR="0EAC4C67" w:rsidRPr="5343F5F6">
        <w:rPr>
          <w:lang w:val="en-AU"/>
        </w:rPr>
        <w:t>.</w:t>
      </w:r>
      <w:r w:rsidR="0EAC4C67" w:rsidRPr="0B7C1147">
        <w:rPr>
          <w:lang w:val="en-AU"/>
        </w:rPr>
        <w:t xml:space="preserve"> </w:t>
      </w:r>
      <w:r w:rsidR="00F417FF" w:rsidRPr="00F417FF">
        <w:rPr>
          <w:lang w:val="en-AU"/>
        </w:rPr>
        <w:t xml:space="preserve">Forestry Corporation would most likely be the proponent in any project involving deferred </w:t>
      </w:r>
      <w:proofErr w:type="gramStart"/>
      <w:r w:rsidR="00F417FF" w:rsidRPr="00F417FF">
        <w:rPr>
          <w:lang w:val="en-AU"/>
        </w:rPr>
        <w:t>logging</w:t>
      </w:r>
      <w:r w:rsidR="6FCBB43E" w:rsidRPr="0B7C1147">
        <w:rPr>
          <w:lang w:val="en-AU"/>
        </w:rPr>
        <w:t>, and</w:t>
      </w:r>
      <w:proofErr w:type="gramEnd"/>
      <w:r w:rsidR="6FCBB43E" w:rsidRPr="0B7C1147">
        <w:rPr>
          <w:lang w:val="en-AU"/>
        </w:rPr>
        <w:t xml:space="preserve"> has a </w:t>
      </w:r>
      <w:proofErr w:type="spellStart"/>
      <w:proofErr w:type="gramStart"/>
      <w:r w:rsidR="6FCBB43E" w:rsidRPr="0B7C1147">
        <w:rPr>
          <w:lang w:val="en-AU"/>
        </w:rPr>
        <w:t>well established</w:t>
      </w:r>
      <w:proofErr w:type="spellEnd"/>
      <w:proofErr w:type="gramEnd"/>
      <w:r w:rsidR="6FCBB43E" w:rsidRPr="0B7C1147">
        <w:rPr>
          <w:lang w:val="en-AU"/>
        </w:rPr>
        <w:t xml:space="preserve"> track-record</w:t>
      </w:r>
      <w:r w:rsidR="00F417FF" w:rsidRPr="00F417FF">
        <w:rPr>
          <w:lang w:val="en-AU"/>
        </w:rPr>
        <w:t xml:space="preserve"> of misreporting and illegal activity</w:t>
      </w:r>
      <w:r w:rsidR="60BE36B1" w:rsidRPr="0B7C1147">
        <w:rPr>
          <w:lang w:val="en-AU"/>
        </w:rPr>
        <w:t>, which</w:t>
      </w:r>
      <w:r w:rsidR="00F417FF" w:rsidRPr="00F417FF">
        <w:rPr>
          <w:lang w:val="en-AU"/>
        </w:rPr>
        <w:t xml:space="preserve"> only increases the probability of gaming and perverse outcomes.</w:t>
      </w:r>
      <w:r w:rsidR="7AA594E8" w:rsidRPr="0B7C1147">
        <w:rPr>
          <w:lang w:val="en-AU"/>
        </w:rPr>
        <w:t xml:space="preserve"> </w:t>
      </w:r>
    </w:p>
    <w:p w14:paraId="511BE3D1" w14:textId="15D80223" w:rsidR="02A64BF5" w:rsidRDefault="02A64BF5" w:rsidP="0B7C1147">
      <w:pPr>
        <w:rPr>
          <w:lang w:val="en-AU"/>
        </w:rPr>
      </w:pPr>
      <w:r w:rsidRPr="0B7C1147">
        <w:rPr>
          <w:lang w:val="en-AU"/>
        </w:rPr>
        <w:t xml:space="preserve">Carbon credits should only be available where </w:t>
      </w:r>
      <w:r w:rsidRPr="6B4B46ED">
        <w:rPr>
          <w:lang w:val="en-AU"/>
        </w:rPr>
        <w:t>a</w:t>
      </w:r>
      <w:r w:rsidRPr="0ACC3A89">
        <w:rPr>
          <w:lang w:val="en-AU"/>
        </w:rPr>
        <w:t xml:space="preserve"> </w:t>
      </w:r>
      <w:r w:rsidR="6670C52C" w:rsidRPr="7889C914">
        <w:rPr>
          <w:lang w:val="en-AU"/>
        </w:rPr>
        <w:t>verifiable</w:t>
      </w:r>
      <w:r w:rsidRPr="14A4D6DE">
        <w:rPr>
          <w:lang w:val="en-AU"/>
        </w:rPr>
        <w:t xml:space="preserve"> </w:t>
      </w:r>
      <w:r w:rsidRPr="0ACC3A89">
        <w:rPr>
          <w:lang w:val="en-AU"/>
        </w:rPr>
        <w:t xml:space="preserve">area of forest is permanently </w:t>
      </w:r>
      <w:r w:rsidRPr="4A5013D3">
        <w:rPr>
          <w:lang w:val="en-AU"/>
        </w:rPr>
        <w:t>protected from logging</w:t>
      </w:r>
      <w:r w:rsidRPr="0F3C3CC3">
        <w:rPr>
          <w:lang w:val="en-AU"/>
        </w:rPr>
        <w:t xml:space="preserve">. </w:t>
      </w:r>
    </w:p>
    <w:p w14:paraId="7E6CA024" w14:textId="1FEE5F65" w:rsidR="7E133586" w:rsidRDefault="6786ED35" w:rsidP="7E133586">
      <w:pPr>
        <w:rPr>
          <w:lang w:val="en-AU"/>
        </w:rPr>
      </w:pPr>
      <w:r w:rsidRPr="31C9E10D">
        <w:rPr>
          <w:lang w:val="en-AU"/>
        </w:rPr>
        <w:t>As there are</w:t>
      </w:r>
      <w:r w:rsidRPr="05A77011">
        <w:rPr>
          <w:lang w:val="en-AU"/>
        </w:rPr>
        <w:t xml:space="preserve"> n</w:t>
      </w:r>
      <w:r w:rsidRPr="05A77011">
        <w:rPr>
          <w:lang w:val="en-AU"/>
        </w:rPr>
        <w:t xml:space="preserve">o benefits from including </w:t>
      </w:r>
      <w:r w:rsidRPr="20CB5573">
        <w:rPr>
          <w:lang w:val="en-AU"/>
        </w:rPr>
        <w:t xml:space="preserve">deferral of </w:t>
      </w:r>
      <w:r w:rsidRPr="13DACC19">
        <w:rPr>
          <w:lang w:val="en-AU"/>
        </w:rPr>
        <w:t xml:space="preserve">harvesting </w:t>
      </w:r>
      <w:r w:rsidRPr="4E5F675B">
        <w:rPr>
          <w:lang w:val="en-AU"/>
        </w:rPr>
        <w:t xml:space="preserve">as an allowable </w:t>
      </w:r>
      <w:r w:rsidRPr="4AE35AF7">
        <w:rPr>
          <w:lang w:val="en-AU"/>
        </w:rPr>
        <w:t xml:space="preserve">activity, </w:t>
      </w:r>
      <w:r w:rsidRPr="58144253">
        <w:rPr>
          <w:lang w:val="en-AU"/>
        </w:rPr>
        <w:t xml:space="preserve">but </w:t>
      </w:r>
      <w:r w:rsidRPr="4AE35AF7">
        <w:rPr>
          <w:lang w:val="en-AU"/>
        </w:rPr>
        <w:t>huge</w:t>
      </w:r>
      <w:r w:rsidRPr="20E3FE4A">
        <w:rPr>
          <w:lang w:val="en-AU"/>
        </w:rPr>
        <w:t xml:space="preserve"> risks</w:t>
      </w:r>
      <w:r w:rsidRPr="3205C5BB">
        <w:rPr>
          <w:lang w:val="en-AU"/>
        </w:rPr>
        <w:t xml:space="preserve"> to the </w:t>
      </w:r>
      <w:r w:rsidRPr="46BFF9D2">
        <w:rPr>
          <w:lang w:val="en-AU"/>
        </w:rPr>
        <w:t xml:space="preserve">integrity of the </w:t>
      </w:r>
      <w:r w:rsidRPr="1645AE7D">
        <w:rPr>
          <w:lang w:val="en-AU"/>
        </w:rPr>
        <w:t>scheme, it should be</w:t>
      </w:r>
      <w:r w:rsidRPr="1712A0E9">
        <w:rPr>
          <w:lang w:val="en-AU"/>
        </w:rPr>
        <w:t xml:space="preserve"> removed.</w:t>
      </w:r>
    </w:p>
    <w:p w14:paraId="459137C1" w14:textId="77777777" w:rsidR="0078240C" w:rsidRDefault="0078240C" w:rsidP="0078240C">
      <w:pPr>
        <w:rPr>
          <w:b/>
          <w:bCs/>
          <w:lang w:val="en-AU"/>
        </w:rPr>
      </w:pPr>
    </w:p>
    <w:p w14:paraId="6F14BD47" w14:textId="77777777" w:rsidR="0078240C" w:rsidRPr="00F8752C" w:rsidRDefault="0078240C" w:rsidP="0078240C">
      <w:pPr>
        <w:rPr>
          <w:b/>
          <w:bCs/>
        </w:rPr>
      </w:pPr>
      <w:r w:rsidRPr="00F8752C">
        <w:rPr>
          <w:b/>
          <w:bCs/>
        </w:rPr>
        <w:t>Recommendation 2</w:t>
      </w:r>
    </w:p>
    <w:p w14:paraId="09AE48A7" w14:textId="30C084FD" w:rsidR="0078240C" w:rsidRPr="00881804" w:rsidRDefault="0078240C" w:rsidP="0078240C">
      <w:r>
        <w:t>The</w:t>
      </w:r>
      <w:r w:rsidRPr="00881804">
        <w:t xml:space="preserve"> NSW Government </w:t>
      </w:r>
      <w:r w:rsidR="00FCA8BB">
        <w:t xml:space="preserve">must </w:t>
      </w:r>
      <w:r>
        <w:t>publish</w:t>
      </w:r>
      <w:r w:rsidRPr="00881804">
        <w:t xml:space="preserve"> a policy of not selling credits to entities whose carbon emissions come from producing fossil fuels.</w:t>
      </w:r>
    </w:p>
    <w:p w14:paraId="6C4D81B3" w14:textId="34D3DACF" w:rsidR="00F417FF" w:rsidRPr="00F8752C" w:rsidRDefault="5EAA6BAB" w:rsidP="74097A9D">
      <w:pPr>
        <w:rPr>
          <w:i/>
        </w:rPr>
      </w:pPr>
      <w:r w:rsidRPr="6A551867">
        <w:rPr>
          <w:i/>
        </w:rPr>
        <w:t xml:space="preserve">Rationale: </w:t>
      </w:r>
      <w:r w:rsidR="00F417FF">
        <w:t>By</w:t>
      </w:r>
      <w:r w:rsidR="00F417FF">
        <w:t xml:space="preserve"> generating carbon credits which are eligible for the safeguard mechanism compliance market, this method could prolong the life of coal and gas mining, which would undermine the carbon benefits of the method</w:t>
      </w:r>
      <w:r w:rsidR="00F417FF">
        <w:t xml:space="preserve">. </w:t>
      </w:r>
      <w:r w:rsidR="00F417FF">
        <w:t>Carbon credits should only be used as part of a genuine emissions reduction plan.</w:t>
      </w:r>
    </w:p>
    <w:p w14:paraId="7E25EBE2" w14:textId="77777777" w:rsidR="0078240C" w:rsidRPr="009407F8" w:rsidRDefault="0078240C" w:rsidP="0078240C">
      <w:pPr>
        <w:rPr>
          <w:lang w:val="en-AU"/>
        </w:rPr>
      </w:pPr>
      <w:r w:rsidRPr="009407F8">
        <w:rPr>
          <w:b/>
          <w:bCs/>
          <w:lang w:val="en-AU"/>
        </w:rPr>
        <w:t xml:space="preserve">Recommendation </w:t>
      </w:r>
      <w:r>
        <w:rPr>
          <w:b/>
          <w:bCs/>
          <w:lang w:val="en-AU"/>
        </w:rPr>
        <w:t>3</w:t>
      </w:r>
    </w:p>
    <w:p w14:paraId="0919C1F0" w14:textId="56674F3B" w:rsidR="0078240C" w:rsidRPr="00881804" w:rsidRDefault="603749B4" w:rsidP="5807C5F8">
      <w:pPr>
        <w:rPr>
          <w:i/>
          <w:lang w:val="en-AU"/>
        </w:rPr>
      </w:pPr>
      <w:r w:rsidRPr="4BB24557">
        <w:rPr>
          <w:i/>
          <w:lang w:val="en-AU"/>
        </w:rPr>
        <w:t xml:space="preserve">Division 3.3—Management plan for project area </w:t>
      </w:r>
    </w:p>
    <w:p w14:paraId="0FD7264E" w14:textId="0C7B1BB9" w:rsidR="0078240C" w:rsidRPr="00881804" w:rsidRDefault="0078240C" w:rsidP="0078240C">
      <w:pPr>
        <w:rPr>
          <w:lang w:val="en-AU"/>
        </w:rPr>
      </w:pPr>
      <w:r w:rsidRPr="00881804">
        <w:rPr>
          <w:lang w:val="en-AU"/>
        </w:rPr>
        <w:t>That the management plan is open to public scrutiny and independent review at the time of its lodgement with the Regulator.</w:t>
      </w:r>
    </w:p>
    <w:p w14:paraId="692751C2" w14:textId="246C1DF1" w:rsidR="00881804" w:rsidRPr="00881804" w:rsidRDefault="4B42E21C" w:rsidP="4F9C76DA">
      <w:pPr>
        <w:rPr>
          <w:lang w:val="en-AU"/>
        </w:rPr>
      </w:pPr>
      <w:r w:rsidRPr="36EF53A8">
        <w:rPr>
          <w:i/>
          <w:iCs/>
          <w:lang w:val="en-AU"/>
        </w:rPr>
        <w:t>Rationale:</w:t>
      </w:r>
      <w:r w:rsidRPr="36EF53A8">
        <w:rPr>
          <w:lang w:val="en-AU"/>
        </w:rPr>
        <w:t xml:space="preserve"> </w:t>
      </w:r>
      <w:r w:rsidR="00881804" w:rsidRPr="36EF53A8">
        <w:rPr>
          <w:lang w:val="en-AU"/>
        </w:rPr>
        <w:t>The</w:t>
      </w:r>
      <w:r w:rsidR="00881804" w:rsidRPr="00881804">
        <w:rPr>
          <w:lang w:val="en-AU"/>
        </w:rPr>
        <w:t xml:space="preserve"> ability to scrutinise the management plan will be central to being able to assess the integrity of the proposed project.</w:t>
      </w:r>
    </w:p>
    <w:p w14:paraId="56368A09" w14:textId="77777777" w:rsidR="003C63F0" w:rsidRPr="003C63F0" w:rsidRDefault="003C63F0" w:rsidP="0078240C">
      <w:pPr>
        <w:rPr>
          <w:lang w:val="en-AU"/>
        </w:rPr>
      </w:pPr>
    </w:p>
    <w:p w14:paraId="4BE532B6" w14:textId="77777777" w:rsidR="0078240C" w:rsidRPr="009407F8" w:rsidRDefault="0078240C" w:rsidP="0078240C">
      <w:pPr>
        <w:rPr>
          <w:lang w:val="en-AU"/>
        </w:rPr>
      </w:pPr>
      <w:r w:rsidRPr="009407F8">
        <w:rPr>
          <w:b/>
          <w:bCs/>
          <w:lang w:val="en-AU"/>
        </w:rPr>
        <w:t>Division 5.5—Baseline harvest levels</w:t>
      </w:r>
    </w:p>
    <w:p w14:paraId="32D748AF" w14:textId="77777777" w:rsidR="0078240C" w:rsidRPr="009407F8" w:rsidRDefault="0078240C" w:rsidP="0078240C">
      <w:pPr>
        <w:rPr>
          <w:lang w:val="en-AU"/>
        </w:rPr>
      </w:pPr>
      <w:r w:rsidRPr="009407F8">
        <w:rPr>
          <w:b/>
          <w:bCs/>
          <w:lang w:val="en-AU"/>
        </w:rPr>
        <w:t xml:space="preserve">Recommendation </w:t>
      </w:r>
      <w:r>
        <w:rPr>
          <w:b/>
          <w:bCs/>
          <w:lang w:val="en-AU"/>
        </w:rPr>
        <w:t>4</w:t>
      </w:r>
    </w:p>
    <w:p w14:paraId="080C2FE1" w14:textId="77777777" w:rsidR="0078240C" w:rsidRDefault="0078240C" w:rsidP="0078240C">
      <w:pPr>
        <w:rPr>
          <w:lang w:val="en-AU"/>
        </w:rPr>
      </w:pPr>
      <w:r w:rsidRPr="009407F8">
        <w:rPr>
          <w:lang w:val="en-AU"/>
        </w:rPr>
        <w:t>The data provided by the proponent, in relation to the initial or revised modified sustainable yield estimate (according to Division 5.5, 29, (9)), must be made publicly available from the date it is received by the Regulator and FRAMES must be provided to an independent modeller for review.</w:t>
      </w:r>
    </w:p>
    <w:p w14:paraId="6D040A07" w14:textId="57DDDC62" w:rsidR="0094157F" w:rsidRPr="009407F8" w:rsidRDefault="22168433" w:rsidP="33EE0955">
      <w:pPr>
        <w:rPr>
          <w:lang w:val="en-AU"/>
        </w:rPr>
      </w:pPr>
      <w:r w:rsidRPr="436E9689">
        <w:rPr>
          <w:i/>
          <w:lang w:val="en-AU"/>
        </w:rPr>
        <w:t>Rationale</w:t>
      </w:r>
      <w:r w:rsidRPr="0A3A4B77">
        <w:rPr>
          <w:lang w:val="en-AU"/>
        </w:rPr>
        <w:t xml:space="preserve">: </w:t>
      </w:r>
      <w:r w:rsidR="0094157F" w:rsidRPr="0094157F">
        <w:rPr>
          <w:lang w:val="en-AU"/>
        </w:rPr>
        <w:t>To have any credibility the parameters used in the modelling must be made publicly</w:t>
      </w:r>
      <w:r w:rsidR="0094157F">
        <w:rPr>
          <w:lang w:val="en-AU"/>
        </w:rPr>
        <w:t xml:space="preserve"> </w:t>
      </w:r>
      <w:r w:rsidR="0094157F" w:rsidRPr="0094157F">
        <w:rPr>
          <w:lang w:val="en-AU"/>
        </w:rPr>
        <w:t>available</w:t>
      </w:r>
    </w:p>
    <w:p w14:paraId="56957718" w14:textId="77777777" w:rsidR="0078240C" w:rsidRPr="009407F8" w:rsidRDefault="0078240C" w:rsidP="0078240C">
      <w:pPr>
        <w:rPr>
          <w:lang w:val="en-AU"/>
        </w:rPr>
      </w:pPr>
    </w:p>
    <w:p w14:paraId="3F06C1F0" w14:textId="77777777" w:rsidR="0078240C" w:rsidRPr="009407F8" w:rsidRDefault="0078240C" w:rsidP="0078240C">
      <w:pPr>
        <w:rPr>
          <w:lang w:val="en-AU"/>
        </w:rPr>
      </w:pPr>
      <w:r w:rsidRPr="009407F8">
        <w:rPr>
          <w:b/>
          <w:bCs/>
          <w:lang w:val="en-AU"/>
        </w:rPr>
        <w:t xml:space="preserve">Recommendation </w:t>
      </w:r>
      <w:r>
        <w:rPr>
          <w:b/>
          <w:bCs/>
          <w:lang w:val="en-AU"/>
        </w:rPr>
        <w:t>5</w:t>
      </w:r>
      <w:r w:rsidRPr="009407F8">
        <w:rPr>
          <w:b/>
          <w:bCs/>
          <w:lang w:val="en-AU"/>
        </w:rPr>
        <w:t xml:space="preserve">: </w:t>
      </w:r>
      <w:r w:rsidRPr="009407F8">
        <w:rPr>
          <w:i/>
          <w:iCs/>
          <w:lang w:val="en-AU"/>
        </w:rPr>
        <w:t>The determination of a baseline</w:t>
      </w:r>
    </w:p>
    <w:p w14:paraId="014AF573" w14:textId="77777777" w:rsidR="0078240C" w:rsidRDefault="0078240C" w:rsidP="0078240C">
      <w:pPr>
        <w:rPr>
          <w:lang w:val="en-AU"/>
        </w:rPr>
      </w:pPr>
      <w:r w:rsidRPr="009407F8">
        <w:rPr>
          <w:lang w:val="en-AU"/>
        </w:rPr>
        <w:t>INFM projects should only be based on verified and realistic, independently verified, sustainable yield estimates. Ensuring that INFM projects are grounded in credible, ecologically sound, and independently verified sustainable yield estimates to prevent over-crediting and ecological degradation.</w:t>
      </w:r>
    </w:p>
    <w:p w14:paraId="30A16203" w14:textId="2669DE60" w:rsidR="0094157F" w:rsidRPr="009407F8" w:rsidRDefault="2C02287B" w:rsidP="2675084A">
      <w:pPr>
        <w:rPr>
          <w:lang w:val="en-AU"/>
        </w:rPr>
      </w:pPr>
      <w:r w:rsidRPr="72C11995">
        <w:rPr>
          <w:i/>
          <w:lang w:val="en-AU"/>
        </w:rPr>
        <w:t>Rationale:</w:t>
      </w:r>
      <w:r w:rsidRPr="13201333">
        <w:rPr>
          <w:lang w:val="en-AU"/>
        </w:rPr>
        <w:t xml:space="preserve"> </w:t>
      </w:r>
      <w:r w:rsidR="00AB1084" w:rsidRPr="00AB1084">
        <w:rPr>
          <w:lang w:val="en-AU"/>
        </w:rPr>
        <w:t>Using inflated baselines risks over-crediting carbon abatement and undermines the integrity of the method.</w:t>
      </w:r>
    </w:p>
    <w:p w14:paraId="33B6E76A" w14:textId="77777777" w:rsidR="0078240C" w:rsidRPr="009407F8" w:rsidRDefault="0078240C" w:rsidP="0078240C">
      <w:pPr>
        <w:rPr>
          <w:lang w:val="en-AU"/>
        </w:rPr>
      </w:pPr>
      <w:r w:rsidRPr="009407F8">
        <w:rPr>
          <w:b/>
          <w:bCs/>
          <w:lang w:val="en-AU"/>
        </w:rPr>
        <w:t xml:space="preserve">Recommendation </w:t>
      </w:r>
      <w:r>
        <w:rPr>
          <w:b/>
          <w:bCs/>
          <w:lang w:val="en-AU"/>
        </w:rPr>
        <w:t>6</w:t>
      </w:r>
    </w:p>
    <w:p w14:paraId="0AD88E8D" w14:textId="77777777" w:rsidR="0078240C" w:rsidRDefault="0078240C" w:rsidP="0078240C">
      <w:pPr>
        <w:rPr>
          <w:lang w:val="en-AU"/>
        </w:rPr>
      </w:pPr>
      <w:r w:rsidRPr="009407F8">
        <w:rPr>
          <w:lang w:val="en-AU"/>
        </w:rPr>
        <w:t>Conduct comprehensive remeasurement of forest plots affected by the 2019/20 wildfires.</w:t>
      </w:r>
    </w:p>
    <w:p w14:paraId="773894F3" w14:textId="1E8CFC1B" w:rsidR="00AB1084" w:rsidRPr="009407F8" w:rsidRDefault="0CDA788A" w:rsidP="227C0B65">
      <w:pPr>
        <w:rPr>
          <w:lang w:val="en-AU"/>
        </w:rPr>
      </w:pPr>
      <w:r w:rsidRPr="43FB5A4F">
        <w:rPr>
          <w:i/>
          <w:iCs/>
          <w:lang w:val="en-AU"/>
        </w:rPr>
        <w:t>Rationale</w:t>
      </w:r>
      <w:r w:rsidRPr="43FB5A4F">
        <w:rPr>
          <w:lang w:val="en-AU"/>
        </w:rPr>
        <w:t xml:space="preserve">: </w:t>
      </w:r>
      <w:r w:rsidR="001E74BC" w:rsidRPr="001E74BC">
        <w:rPr>
          <w:lang w:val="en-AU"/>
        </w:rPr>
        <w:t>Forestry Corporation has not re-measured 659 plots in heavily burnt areas in north-east NSW</w:t>
      </w:r>
      <w:r w:rsidR="001E74BC">
        <w:rPr>
          <w:lang w:val="en-AU"/>
        </w:rPr>
        <w:t xml:space="preserve">. </w:t>
      </w:r>
      <w:r w:rsidR="00E65C3F" w:rsidRPr="00E65C3F">
        <w:rPr>
          <w:lang w:val="en-AU"/>
        </w:rPr>
        <w:t>This greatly undermines the credibility of post-fire yield estimates, sustainable yield estimates and new Wood Supply Agreements signed in 2022.</w:t>
      </w:r>
    </w:p>
    <w:p w14:paraId="30E16950" w14:textId="77777777" w:rsidR="0078240C" w:rsidRPr="009407F8" w:rsidRDefault="0078240C" w:rsidP="0078240C">
      <w:pPr>
        <w:rPr>
          <w:lang w:val="en-AU"/>
        </w:rPr>
      </w:pPr>
      <w:r w:rsidRPr="009407F8">
        <w:rPr>
          <w:b/>
          <w:bCs/>
          <w:lang w:val="en-AU"/>
        </w:rPr>
        <w:t>Division 5.8—Leakage Prevention</w:t>
      </w:r>
    </w:p>
    <w:p w14:paraId="5291F917" w14:textId="77777777" w:rsidR="0078240C" w:rsidRPr="009407F8" w:rsidRDefault="0078240C" w:rsidP="0078240C">
      <w:pPr>
        <w:rPr>
          <w:lang w:val="en-AU"/>
        </w:rPr>
      </w:pPr>
      <w:r w:rsidRPr="009407F8">
        <w:rPr>
          <w:b/>
          <w:bCs/>
          <w:lang w:val="en-AU"/>
        </w:rPr>
        <w:t xml:space="preserve">Recommendation </w:t>
      </w:r>
      <w:r>
        <w:rPr>
          <w:b/>
          <w:bCs/>
          <w:lang w:val="en-AU"/>
        </w:rPr>
        <w:t>7</w:t>
      </w:r>
    </w:p>
    <w:p w14:paraId="450DD371" w14:textId="77777777" w:rsidR="0078240C" w:rsidRPr="009407F8" w:rsidRDefault="0078240C" w:rsidP="0078240C">
      <w:pPr>
        <w:rPr>
          <w:lang w:val="en-AU"/>
        </w:rPr>
      </w:pPr>
      <w:r w:rsidRPr="009407F8">
        <w:rPr>
          <w:lang w:val="en-AU"/>
        </w:rPr>
        <w:t>Implement Robust Controls to Prevent Leakage Across Forest Tenures and Jurisdictions through:</w:t>
      </w:r>
    </w:p>
    <w:p w14:paraId="3E755D62" w14:textId="77777777" w:rsidR="0078240C" w:rsidRPr="009407F8" w:rsidRDefault="0078240C" w:rsidP="0078240C">
      <w:pPr>
        <w:numPr>
          <w:ilvl w:val="0"/>
          <w:numId w:val="1"/>
        </w:numPr>
        <w:rPr>
          <w:lang w:val="en-AU"/>
        </w:rPr>
      </w:pPr>
      <w:r w:rsidRPr="009407F8">
        <w:rPr>
          <w:lang w:val="en-AU"/>
        </w:rPr>
        <w:t>Require that products specified in Wood Supply Agreements are at least reduced proportionate to the volumes claimed to have avoided emissions, and greater if required to achieve sustainable yield in the project area</w:t>
      </w:r>
    </w:p>
    <w:p w14:paraId="378C4F72" w14:textId="77777777" w:rsidR="0078240C" w:rsidRPr="009407F8" w:rsidRDefault="0078240C" w:rsidP="0078240C">
      <w:pPr>
        <w:numPr>
          <w:ilvl w:val="0"/>
          <w:numId w:val="1"/>
        </w:numPr>
        <w:rPr>
          <w:lang w:val="en-AU"/>
        </w:rPr>
      </w:pPr>
      <w:r w:rsidRPr="009407F8">
        <w:rPr>
          <w:lang w:val="en-AU"/>
        </w:rPr>
        <w:t>Ensure baselines are established for each product (</w:t>
      </w:r>
      <w:proofErr w:type="spellStart"/>
      <w:r w:rsidRPr="009407F8">
        <w:rPr>
          <w:lang w:val="en-AU"/>
        </w:rPr>
        <w:t>ie</w:t>
      </w:r>
      <w:proofErr w:type="spellEnd"/>
      <w:r w:rsidRPr="009407F8">
        <w:rPr>
          <w:lang w:val="en-AU"/>
        </w:rPr>
        <w:t xml:space="preserve"> large </w:t>
      </w:r>
      <w:proofErr w:type="gramStart"/>
      <w:r w:rsidRPr="009407F8">
        <w:rPr>
          <w:lang w:val="en-AU"/>
        </w:rPr>
        <w:t>high quality</w:t>
      </w:r>
      <w:proofErr w:type="gramEnd"/>
      <w:r w:rsidRPr="009407F8">
        <w:rPr>
          <w:lang w:val="en-AU"/>
        </w:rPr>
        <w:t xml:space="preserve"> sawlogs, small high-quality sawlogs, low-quality sawlogs, </w:t>
      </w:r>
      <w:proofErr w:type="spellStart"/>
      <w:r w:rsidRPr="009407F8">
        <w:rPr>
          <w:lang w:val="en-AU"/>
        </w:rPr>
        <w:t>pulplogs</w:t>
      </w:r>
      <w:proofErr w:type="spellEnd"/>
      <w:r w:rsidRPr="009407F8">
        <w:rPr>
          <w:lang w:val="en-AU"/>
        </w:rPr>
        <w:t xml:space="preserve"> and other), and clear criteria for each product, to ensure substitution isn’t used </w:t>
      </w:r>
      <w:proofErr w:type="gramStart"/>
      <w:r w:rsidRPr="009407F8">
        <w:rPr>
          <w:lang w:val="en-AU"/>
        </w:rPr>
        <w:t>to  misrepresent</w:t>
      </w:r>
      <w:proofErr w:type="gramEnd"/>
      <w:r w:rsidRPr="009407F8">
        <w:rPr>
          <w:lang w:val="en-AU"/>
        </w:rPr>
        <w:t xml:space="preserve"> reductions</w:t>
      </w:r>
    </w:p>
    <w:p w14:paraId="1CD08FE6" w14:textId="11E293D0" w:rsidR="0078240C" w:rsidRPr="009407F8" w:rsidRDefault="0078240C" w:rsidP="0078240C">
      <w:pPr>
        <w:numPr>
          <w:ilvl w:val="0"/>
          <w:numId w:val="1"/>
        </w:numPr>
        <w:rPr>
          <w:lang w:val="en-AU"/>
        </w:rPr>
      </w:pPr>
      <w:r w:rsidRPr="009407F8">
        <w:rPr>
          <w:lang w:val="en-AU"/>
        </w:rPr>
        <w:t xml:space="preserve">Establish </w:t>
      </w:r>
      <w:r w:rsidR="71E6D6F6" w:rsidRPr="0CC6860D">
        <w:rPr>
          <w:lang w:val="en-AU"/>
        </w:rPr>
        <w:t>m</w:t>
      </w:r>
      <w:r w:rsidRPr="0CC6860D">
        <w:rPr>
          <w:lang w:val="en-AU"/>
        </w:rPr>
        <w:t>odified</w:t>
      </w:r>
      <w:r w:rsidRPr="009407F8">
        <w:rPr>
          <w:lang w:val="en-AU"/>
        </w:rPr>
        <w:t xml:space="preserve"> </w:t>
      </w:r>
      <w:r w:rsidR="3F36AFBE" w:rsidRPr="2456A4A1">
        <w:rPr>
          <w:lang w:val="en-AU"/>
        </w:rPr>
        <w:t>s</w:t>
      </w:r>
      <w:r w:rsidRPr="2456A4A1">
        <w:rPr>
          <w:lang w:val="en-AU"/>
        </w:rPr>
        <w:t xml:space="preserve">ustained </w:t>
      </w:r>
      <w:r w:rsidR="05779E56" w:rsidRPr="2456A4A1">
        <w:rPr>
          <w:lang w:val="en-AU"/>
        </w:rPr>
        <w:t>y</w:t>
      </w:r>
      <w:r w:rsidRPr="2456A4A1">
        <w:rPr>
          <w:lang w:val="en-AU"/>
        </w:rPr>
        <w:t>ield</w:t>
      </w:r>
      <w:r w:rsidRPr="009407F8">
        <w:rPr>
          <w:lang w:val="en-AU"/>
        </w:rPr>
        <w:t xml:space="preserve"> </w:t>
      </w:r>
      <w:r w:rsidR="0C1EE7A5" w:rsidRPr="276E0ABB">
        <w:rPr>
          <w:lang w:val="en-AU"/>
        </w:rPr>
        <w:t>b</w:t>
      </w:r>
      <w:r w:rsidRPr="276E0ABB">
        <w:rPr>
          <w:lang w:val="en-AU"/>
        </w:rPr>
        <w:t xml:space="preserve">aselines </w:t>
      </w:r>
      <w:r w:rsidR="406C1EC5" w:rsidRPr="276E0ABB">
        <w:rPr>
          <w:lang w:val="en-AU"/>
        </w:rPr>
        <w:t>a</w:t>
      </w:r>
      <w:r w:rsidRPr="276E0ABB">
        <w:rPr>
          <w:lang w:val="en-AU"/>
        </w:rPr>
        <w:t>cross</w:t>
      </w:r>
      <w:r w:rsidRPr="009407F8">
        <w:rPr>
          <w:lang w:val="en-AU"/>
        </w:rPr>
        <w:t xml:space="preserve"> </w:t>
      </w:r>
      <w:r w:rsidR="330941E7" w:rsidRPr="3C844804">
        <w:rPr>
          <w:lang w:val="en-AU"/>
        </w:rPr>
        <w:t>e</w:t>
      </w:r>
      <w:r w:rsidRPr="3C844804">
        <w:rPr>
          <w:lang w:val="en-AU"/>
        </w:rPr>
        <w:t xml:space="preserve">ntire </w:t>
      </w:r>
      <w:r w:rsidR="4D1C7BCB" w:rsidRPr="3C844804">
        <w:rPr>
          <w:lang w:val="en-AU"/>
        </w:rPr>
        <w:t>f</w:t>
      </w:r>
      <w:r w:rsidRPr="3C844804">
        <w:rPr>
          <w:lang w:val="en-AU"/>
        </w:rPr>
        <w:t>orest</w:t>
      </w:r>
      <w:r w:rsidRPr="009407F8">
        <w:rPr>
          <w:lang w:val="en-AU"/>
        </w:rPr>
        <w:t xml:space="preserve"> </w:t>
      </w:r>
      <w:r w:rsidR="1C41DEC2" w:rsidRPr="166FC9D7">
        <w:rPr>
          <w:lang w:val="en-AU"/>
        </w:rPr>
        <w:t>e</w:t>
      </w:r>
      <w:r w:rsidRPr="166FC9D7">
        <w:rPr>
          <w:lang w:val="en-AU"/>
        </w:rPr>
        <w:t>states</w:t>
      </w:r>
    </w:p>
    <w:p w14:paraId="082D28F9" w14:textId="6D1D4D99" w:rsidR="0078240C" w:rsidRPr="009407F8" w:rsidRDefault="0078240C" w:rsidP="0078240C">
      <w:pPr>
        <w:numPr>
          <w:ilvl w:val="0"/>
          <w:numId w:val="1"/>
        </w:numPr>
        <w:rPr>
          <w:lang w:val="en-AU"/>
        </w:rPr>
      </w:pPr>
      <w:r w:rsidRPr="009407F8">
        <w:rPr>
          <w:lang w:val="en-AU"/>
        </w:rPr>
        <w:t xml:space="preserve">Develop </w:t>
      </w:r>
      <w:r w:rsidR="2688AEE0" w:rsidRPr="16F21795">
        <w:rPr>
          <w:lang w:val="en-AU"/>
        </w:rPr>
        <w:t>c</w:t>
      </w:r>
      <w:r w:rsidRPr="16F21795">
        <w:rPr>
          <w:lang w:val="en-AU"/>
        </w:rPr>
        <w:t>ounterfactual</w:t>
      </w:r>
      <w:r w:rsidRPr="009407F8">
        <w:rPr>
          <w:lang w:val="en-AU"/>
        </w:rPr>
        <w:t xml:space="preserve"> </w:t>
      </w:r>
      <w:r w:rsidR="7F8BA135" w:rsidRPr="79AA70BA">
        <w:rPr>
          <w:lang w:val="en-AU"/>
        </w:rPr>
        <w:t>b</w:t>
      </w:r>
      <w:r w:rsidRPr="79AA70BA">
        <w:rPr>
          <w:lang w:val="en-AU"/>
        </w:rPr>
        <w:t>aselines</w:t>
      </w:r>
      <w:r w:rsidRPr="009407F8">
        <w:rPr>
          <w:lang w:val="en-AU"/>
        </w:rPr>
        <w:t xml:space="preserve"> for </w:t>
      </w:r>
      <w:r w:rsidR="05077EAF" w:rsidRPr="79AA70BA">
        <w:rPr>
          <w:lang w:val="en-AU"/>
        </w:rPr>
        <w:t>p</w:t>
      </w:r>
      <w:r w:rsidRPr="79AA70BA">
        <w:rPr>
          <w:lang w:val="en-AU"/>
        </w:rPr>
        <w:t>rivate</w:t>
      </w:r>
      <w:r w:rsidRPr="009407F8">
        <w:rPr>
          <w:lang w:val="en-AU"/>
        </w:rPr>
        <w:t xml:space="preserve"> </w:t>
      </w:r>
      <w:r w:rsidR="7CDA42AA" w:rsidRPr="50BBABD3">
        <w:rPr>
          <w:lang w:val="en-AU"/>
        </w:rPr>
        <w:t>n</w:t>
      </w:r>
      <w:r w:rsidRPr="50BBABD3">
        <w:rPr>
          <w:lang w:val="en-AU"/>
        </w:rPr>
        <w:t>ative</w:t>
      </w:r>
      <w:r w:rsidRPr="009407F8">
        <w:rPr>
          <w:lang w:val="en-AU"/>
        </w:rPr>
        <w:t xml:space="preserve"> </w:t>
      </w:r>
      <w:r w:rsidR="62D981A6" w:rsidRPr="6ED0118E">
        <w:rPr>
          <w:lang w:val="en-AU"/>
        </w:rPr>
        <w:t>f</w:t>
      </w:r>
      <w:r w:rsidRPr="6ED0118E">
        <w:rPr>
          <w:lang w:val="en-AU"/>
        </w:rPr>
        <w:t>orests</w:t>
      </w:r>
    </w:p>
    <w:p w14:paraId="478997B2" w14:textId="77777777" w:rsidR="0078240C" w:rsidRPr="009407F8" w:rsidRDefault="0078240C" w:rsidP="0078240C">
      <w:pPr>
        <w:numPr>
          <w:ilvl w:val="0"/>
          <w:numId w:val="1"/>
        </w:numPr>
        <w:rPr>
          <w:lang w:val="en-AU"/>
        </w:rPr>
      </w:pPr>
      <w:r w:rsidRPr="009407F8">
        <w:rPr>
          <w:lang w:val="en-AU"/>
        </w:rPr>
        <w:t>Regularly monitor standing carbon stocks using LiDAR (or similar) to ensure targets are being delivered</w:t>
      </w:r>
    </w:p>
    <w:p w14:paraId="048D6D32" w14:textId="5F03CD26" w:rsidR="0078240C" w:rsidRPr="009407F8" w:rsidRDefault="0078240C" w:rsidP="0078240C">
      <w:pPr>
        <w:numPr>
          <w:ilvl w:val="0"/>
          <w:numId w:val="1"/>
        </w:numPr>
        <w:rPr>
          <w:lang w:val="en-AU"/>
        </w:rPr>
      </w:pPr>
      <w:r w:rsidRPr="009407F8">
        <w:rPr>
          <w:lang w:val="en-AU"/>
        </w:rPr>
        <w:t xml:space="preserve">Apply </w:t>
      </w:r>
      <w:r w:rsidR="3FE08AB9" w:rsidRPr="57A29131">
        <w:rPr>
          <w:lang w:val="en-AU"/>
        </w:rPr>
        <w:t>h</w:t>
      </w:r>
      <w:r w:rsidRPr="57A29131">
        <w:rPr>
          <w:lang w:val="en-AU"/>
        </w:rPr>
        <w:t>igher</w:t>
      </w:r>
      <w:r w:rsidRPr="009407F8">
        <w:rPr>
          <w:lang w:val="en-AU"/>
        </w:rPr>
        <w:t xml:space="preserve"> </w:t>
      </w:r>
      <w:r w:rsidR="07880830" w:rsidRPr="4AA7617F">
        <w:rPr>
          <w:lang w:val="en-AU"/>
        </w:rPr>
        <w:t>i</w:t>
      </w:r>
      <w:r w:rsidRPr="4AA7617F">
        <w:rPr>
          <w:lang w:val="en-AU"/>
        </w:rPr>
        <w:t>ndirect</w:t>
      </w:r>
      <w:r w:rsidRPr="009407F8">
        <w:rPr>
          <w:lang w:val="en-AU"/>
        </w:rPr>
        <w:t xml:space="preserve"> </w:t>
      </w:r>
      <w:r w:rsidR="7E8520C1" w:rsidRPr="51FE2469">
        <w:rPr>
          <w:lang w:val="en-AU"/>
        </w:rPr>
        <w:t>l</w:t>
      </w:r>
      <w:r w:rsidRPr="51FE2469">
        <w:rPr>
          <w:lang w:val="en-AU"/>
        </w:rPr>
        <w:t xml:space="preserve">eakage </w:t>
      </w:r>
      <w:r w:rsidR="506C9F12" w:rsidRPr="51FE2469">
        <w:rPr>
          <w:lang w:val="en-AU"/>
        </w:rPr>
        <w:t>d</w:t>
      </w:r>
      <w:r w:rsidRPr="51FE2469">
        <w:rPr>
          <w:lang w:val="en-AU"/>
        </w:rPr>
        <w:t>iscounts</w:t>
      </w:r>
    </w:p>
    <w:p w14:paraId="40A2CF5C" w14:textId="77777777" w:rsidR="0078240C" w:rsidRPr="009407F8" w:rsidRDefault="0078240C" w:rsidP="0078240C">
      <w:pPr>
        <w:numPr>
          <w:ilvl w:val="0"/>
          <w:numId w:val="1"/>
        </w:numPr>
        <w:rPr>
          <w:lang w:val="en-AU"/>
        </w:rPr>
      </w:pPr>
      <w:r w:rsidRPr="009407F8">
        <w:rPr>
          <w:lang w:val="en-AU"/>
        </w:rPr>
        <w:lastRenderedPageBreak/>
        <w:t>Include provisions to prevent logging under the guise of fire management to be automatically excluded from leakage calculations.</w:t>
      </w:r>
    </w:p>
    <w:p w14:paraId="40F9DF1A" w14:textId="27F2B720" w:rsidR="0078240C" w:rsidRPr="009407F8" w:rsidRDefault="0078240C" w:rsidP="0078240C">
      <w:pPr>
        <w:numPr>
          <w:ilvl w:val="0"/>
          <w:numId w:val="1"/>
        </w:numPr>
        <w:rPr>
          <w:lang w:val="en-AU"/>
        </w:rPr>
      </w:pPr>
      <w:r w:rsidRPr="009407F8">
        <w:rPr>
          <w:lang w:val="en-AU"/>
        </w:rPr>
        <w:t xml:space="preserve">Monitor and </w:t>
      </w:r>
      <w:r w:rsidR="3B1A05D4" w:rsidRPr="06872853">
        <w:rPr>
          <w:lang w:val="en-AU"/>
        </w:rPr>
        <w:t>l</w:t>
      </w:r>
      <w:r w:rsidRPr="06872853">
        <w:rPr>
          <w:lang w:val="en-AU"/>
        </w:rPr>
        <w:t>imit</w:t>
      </w:r>
      <w:r w:rsidRPr="009407F8">
        <w:rPr>
          <w:lang w:val="en-AU"/>
        </w:rPr>
        <w:t xml:space="preserve"> </w:t>
      </w:r>
      <w:r w:rsidR="3BDEED52" w:rsidRPr="3FADDDD9">
        <w:rPr>
          <w:lang w:val="en-AU"/>
        </w:rPr>
        <w:t>c</w:t>
      </w:r>
      <w:r w:rsidRPr="3FADDDD9">
        <w:rPr>
          <w:lang w:val="en-AU"/>
        </w:rPr>
        <w:t>ross-</w:t>
      </w:r>
      <w:r w:rsidR="3D7FD6C5" w:rsidRPr="3FADDDD9">
        <w:rPr>
          <w:lang w:val="en-AU"/>
        </w:rPr>
        <w:t>s</w:t>
      </w:r>
      <w:r w:rsidRPr="3FADDDD9">
        <w:rPr>
          <w:lang w:val="en-AU"/>
        </w:rPr>
        <w:t>ubsidisation</w:t>
      </w:r>
      <w:r w:rsidRPr="009407F8">
        <w:rPr>
          <w:lang w:val="en-AU"/>
        </w:rPr>
        <w:t xml:space="preserve"> </w:t>
      </w:r>
      <w:proofErr w:type="gramStart"/>
      <w:r w:rsidRPr="009407F8">
        <w:rPr>
          <w:lang w:val="en-AU"/>
        </w:rPr>
        <w:t>through the use of</w:t>
      </w:r>
      <w:proofErr w:type="gramEnd"/>
      <w:r w:rsidRPr="009407F8">
        <w:rPr>
          <w:lang w:val="en-AU"/>
        </w:rPr>
        <w:t xml:space="preserve"> ACCU revenue to subsidize logging in unprofitable or ecologically sensitive areas.</w:t>
      </w:r>
    </w:p>
    <w:p w14:paraId="49453188" w14:textId="65F39A3C" w:rsidR="0078240C" w:rsidRDefault="0078240C" w:rsidP="357B9628">
      <w:pPr>
        <w:rPr>
          <w:lang w:val="en-AU"/>
        </w:rPr>
      </w:pPr>
      <w:r w:rsidRPr="009407F8">
        <w:rPr>
          <w:b/>
          <w:bCs/>
          <w:lang w:val="en-AU"/>
        </w:rPr>
        <w:t xml:space="preserve">Recommendation </w:t>
      </w:r>
      <w:r>
        <w:rPr>
          <w:b/>
          <w:bCs/>
          <w:lang w:val="en-AU"/>
        </w:rPr>
        <w:t>8</w:t>
      </w:r>
      <w:r w:rsidRPr="009407F8">
        <w:rPr>
          <w:b/>
          <w:bCs/>
          <w:lang w:val="en-AU"/>
        </w:rPr>
        <w:t xml:space="preserve"> </w:t>
      </w:r>
    </w:p>
    <w:p w14:paraId="50E3C1C8" w14:textId="1B079043" w:rsidR="0078240C" w:rsidRDefault="0078240C" w:rsidP="26867357">
      <w:pPr>
        <w:rPr>
          <w:i/>
          <w:lang w:val="en-AU"/>
        </w:rPr>
      </w:pPr>
      <w:r w:rsidRPr="1A756B30">
        <w:rPr>
          <w:i/>
          <w:lang w:val="en-AU"/>
        </w:rPr>
        <w:t>Division 6.2</w:t>
      </w:r>
      <w:r w:rsidR="2CE32A20" w:rsidRPr="1A756B30">
        <w:rPr>
          <w:i/>
          <w:lang w:val="en-AU"/>
        </w:rPr>
        <w:t xml:space="preserve">—Record-keeping requirements </w:t>
      </w:r>
    </w:p>
    <w:p w14:paraId="0CD8BAD7" w14:textId="1DC7D08D" w:rsidR="0078240C" w:rsidRDefault="0078240C" w:rsidP="0078240C">
      <w:pPr>
        <w:rPr>
          <w:lang w:val="en-AU"/>
        </w:rPr>
      </w:pPr>
      <w:r w:rsidRPr="009407F8">
        <w:rPr>
          <w:lang w:val="en-AU"/>
        </w:rPr>
        <w:t>All records provided in relation to this Division should be publicly available.</w:t>
      </w:r>
    </w:p>
    <w:p w14:paraId="16078CA0" w14:textId="5CF18023" w:rsidR="00301B18" w:rsidRPr="009407F8" w:rsidRDefault="2A706B93" w:rsidP="24ECECE2">
      <w:pPr>
        <w:rPr>
          <w:lang w:val="en-AU"/>
        </w:rPr>
      </w:pPr>
      <w:r w:rsidRPr="4032E5AA">
        <w:rPr>
          <w:i/>
          <w:iCs/>
          <w:lang w:val="en-AU"/>
        </w:rPr>
        <w:t xml:space="preserve">Rationale: </w:t>
      </w:r>
      <w:r w:rsidR="00301B18" w:rsidRPr="4032E5AA">
        <w:rPr>
          <w:lang w:val="en-AU"/>
        </w:rPr>
        <w:t>A</w:t>
      </w:r>
      <w:r w:rsidR="00F665DA">
        <w:rPr>
          <w:lang w:val="en-AU"/>
        </w:rPr>
        <w:t xml:space="preserve"> history of a</w:t>
      </w:r>
      <w:r w:rsidR="00301B18" w:rsidRPr="00301B18">
        <w:rPr>
          <w:lang w:val="en-AU"/>
        </w:rPr>
        <w:t xml:space="preserve"> lack of transparency in the management of public native forests has resulted in a culture of non-compliance and poor record keeping.</w:t>
      </w:r>
    </w:p>
    <w:p w14:paraId="01AD5BFF" w14:textId="77777777" w:rsidR="0078240C" w:rsidRPr="009407F8" w:rsidRDefault="0078240C" w:rsidP="0078240C">
      <w:pPr>
        <w:rPr>
          <w:lang w:val="en-AU"/>
        </w:rPr>
      </w:pPr>
      <w:r w:rsidRPr="009407F8">
        <w:rPr>
          <w:b/>
          <w:bCs/>
          <w:lang w:val="en-AU"/>
        </w:rPr>
        <w:t xml:space="preserve">Recommendation </w:t>
      </w:r>
      <w:r>
        <w:rPr>
          <w:b/>
          <w:bCs/>
          <w:lang w:val="en-AU"/>
        </w:rPr>
        <w:t>9</w:t>
      </w:r>
    </w:p>
    <w:p w14:paraId="184FBEEE" w14:textId="4A065031" w:rsidR="0078240C" w:rsidRPr="009407F8" w:rsidRDefault="3A219C41" w:rsidP="71B649F1">
      <w:pPr>
        <w:rPr>
          <w:i/>
          <w:lang w:val="en-AU"/>
        </w:rPr>
      </w:pPr>
      <w:r w:rsidRPr="7DF236C2">
        <w:rPr>
          <w:i/>
          <w:lang w:val="en-AU"/>
        </w:rPr>
        <w:t>First Nations handbacks</w:t>
      </w:r>
      <w:r w:rsidRPr="1A314EB7">
        <w:rPr>
          <w:i/>
          <w:lang w:val="en-AU"/>
        </w:rPr>
        <w:t xml:space="preserve"> </w:t>
      </w:r>
    </w:p>
    <w:p w14:paraId="72AEF703" w14:textId="79E0F31F" w:rsidR="0078240C" w:rsidRPr="009407F8" w:rsidRDefault="0078240C" w:rsidP="0078240C">
      <w:pPr>
        <w:rPr>
          <w:lang w:val="en-AU"/>
        </w:rPr>
      </w:pPr>
      <w:r w:rsidRPr="009407F8">
        <w:rPr>
          <w:lang w:val="en-AU"/>
        </w:rPr>
        <w:t>Clarification on the implications for First Nations hand backs need to be addressed</w:t>
      </w:r>
    </w:p>
    <w:p w14:paraId="3D4722D5" w14:textId="77777777" w:rsidR="0078240C" w:rsidRDefault="0078240C" w:rsidP="0078240C">
      <w:pPr>
        <w:numPr>
          <w:ilvl w:val="0"/>
          <w:numId w:val="2"/>
        </w:numPr>
        <w:rPr>
          <w:lang w:val="en-AU"/>
        </w:rPr>
      </w:pPr>
      <w:r w:rsidRPr="009407F8">
        <w:rPr>
          <w:lang w:val="en-AU"/>
        </w:rPr>
        <w:t xml:space="preserve">Clear identification of these areas must be included in references to “other reserve” (draft determination, Section 10(4)) </w:t>
      </w:r>
      <w:proofErr w:type="gramStart"/>
      <w:r w:rsidRPr="009407F8">
        <w:rPr>
          <w:lang w:val="en-AU"/>
        </w:rPr>
        <w:t>so as to</w:t>
      </w:r>
      <w:proofErr w:type="gramEnd"/>
      <w:r w:rsidRPr="009407F8">
        <w:rPr>
          <w:lang w:val="en-AU"/>
        </w:rPr>
        <w:t xml:space="preserve"> not excessively restrict First Nations hand backs</w:t>
      </w:r>
    </w:p>
    <w:p w14:paraId="160594CA" w14:textId="5098E9E2" w:rsidR="00883803" w:rsidRPr="009407F8" w:rsidRDefault="7278054A" w:rsidP="28FF3C77">
      <w:pPr>
        <w:rPr>
          <w:lang w:val="en-AU"/>
        </w:rPr>
      </w:pPr>
      <w:r w:rsidRPr="1EB105B7">
        <w:rPr>
          <w:i/>
          <w:iCs/>
          <w:lang w:val="en-AU"/>
        </w:rPr>
        <w:t>Rationale</w:t>
      </w:r>
      <w:r w:rsidRPr="1EB105B7">
        <w:rPr>
          <w:lang w:val="en-AU"/>
        </w:rPr>
        <w:t xml:space="preserve">: </w:t>
      </w:r>
      <w:r w:rsidR="00883803" w:rsidRPr="1EB105B7">
        <w:rPr>
          <w:lang w:val="en-AU"/>
        </w:rPr>
        <w:t>The</w:t>
      </w:r>
      <w:r w:rsidR="00883803" w:rsidRPr="00883803">
        <w:rPr>
          <w:lang w:val="en-AU"/>
        </w:rPr>
        <w:t xml:space="preserve"> draft method does not explicitly mention future tenure changes, apart from a reference to “national park or other reserve or subject to any other applicable law that prevents commercial forestry use.”</w:t>
      </w:r>
    </w:p>
    <w:p w14:paraId="6D100FC8" w14:textId="77777777" w:rsidR="0078240C" w:rsidRPr="009B03F4" w:rsidRDefault="0078240C" w:rsidP="0078240C">
      <w:pPr>
        <w:rPr>
          <w:b/>
          <w:bCs/>
          <w:lang w:val="en-AU"/>
        </w:rPr>
      </w:pPr>
    </w:p>
    <w:p w14:paraId="1C3A53A9" w14:textId="77777777" w:rsidR="0078240C" w:rsidRPr="00B27050" w:rsidRDefault="0078240C" w:rsidP="0078240C">
      <w:pPr>
        <w:rPr>
          <w:b/>
          <w:bCs/>
          <w:lang w:val="en-AU"/>
        </w:rPr>
      </w:pPr>
      <w:r w:rsidRPr="00B27050">
        <w:rPr>
          <w:b/>
          <w:bCs/>
          <w:lang w:val="en-AU"/>
        </w:rPr>
        <w:t>Consultation Questions</w:t>
      </w:r>
    </w:p>
    <w:p w14:paraId="04A8325F" w14:textId="5B0FD864" w:rsidR="0078240C" w:rsidRPr="007102B6" w:rsidRDefault="0078240C" w:rsidP="007102B6">
      <w:pPr>
        <w:pStyle w:val="ListParagraph"/>
        <w:numPr>
          <w:ilvl w:val="0"/>
          <w:numId w:val="10"/>
        </w:numPr>
        <w:rPr>
          <w:b/>
          <w:bCs/>
          <w:lang w:val="en-AU"/>
        </w:rPr>
      </w:pPr>
      <w:r w:rsidRPr="007102B6">
        <w:rPr>
          <w:b/>
          <w:bCs/>
          <w:lang w:val="en-AU"/>
        </w:rPr>
        <w:t>forestry region means:</w:t>
      </w:r>
    </w:p>
    <w:p w14:paraId="43A10DED" w14:textId="77777777" w:rsidR="0078240C" w:rsidRPr="00B27050" w:rsidRDefault="0078240C" w:rsidP="0078240C">
      <w:pPr>
        <w:rPr>
          <w:lang w:val="en-AU"/>
        </w:rPr>
      </w:pPr>
      <w:r w:rsidRPr="00B27050">
        <w:rPr>
          <w:lang w:val="en-AU"/>
        </w:rPr>
        <w:t>Question: Is the mandatory minimum project area size for non-RFA regions (1.5 million hectares) set at an appropriate level?</w:t>
      </w:r>
    </w:p>
    <w:p w14:paraId="14A00568" w14:textId="77777777" w:rsidR="0078240C" w:rsidRPr="00B27050" w:rsidRDefault="0078240C" w:rsidP="0078240C">
      <w:pPr>
        <w:rPr>
          <w:lang w:val="en-AU"/>
        </w:rPr>
      </w:pPr>
      <w:r w:rsidRPr="00B27050">
        <w:rPr>
          <w:lang w:val="en-AU"/>
        </w:rPr>
        <w:t>The intent in setting a minimum project area size is to mitigate additionality and leakage risks by ensuring project areas cover substantial areas of public native forests, where there can be confidence in baseline harvesting levels and there is limited scope for activity shifting. Generally, the smaller the project area the greater the additionality and direct leakage risks. However, if the minimum project area size is set too high, it could exclude valid projects.</w:t>
      </w:r>
    </w:p>
    <w:p w14:paraId="59FC251F" w14:textId="77777777" w:rsidR="0078240C" w:rsidRPr="00B27050" w:rsidRDefault="0078240C" w:rsidP="0078240C">
      <w:pPr>
        <w:rPr>
          <w:lang w:val="en-AU"/>
        </w:rPr>
      </w:pPr>
      <w:r w:rsidRPr="00B27050">
        <w:rPr>
          <w:lang w:val="en-AU"/>
        </w:rPr>
        <w:t>Feedback is sought on whether 1.5 million hectares strikes the right balance.</w:t>
      </w:r>
    </w:p>
    <w:p w14:paraId="3928F4E6" w14:textId="77777777" w:rsidR="0078240C" w:rsidRPr="00B27050" w:rsidRDefault="0078240C" w:rsidP="0078240C">
      <w:pPr>
        <w:rPr>
          <w:lang w:val="en-AU"/>
        </w:rPr>
      </w:pPr>
      <w:r w:rsidRPr="00B27050">
        <w:rPr>
          <w:b/>
          <w:bCs/>
          <w:lang w:val="en-AU"/>
        </w:rPr>
        <w:lastRenderedPageBreak/>
        <w:t>Answer</w:t>
      </w:r>
      <w:r w:rsidRPr="00B27050">
        <w:rPr>
          <w:lang w:val="en-AU"/>
        </w:rPr>
        <w:t>: Yes. This is an appropriate project area size.</w:t>
      </w:r>
    </w:p>
    <w:p w14:paraId="7347DED6" w14:textId="77777777" w:rsidR="0078240C" w:rsidRPr="00B27050" w:rsidRDefault="0078240C" w:rsidP="0078240C">
      <w:pPr>
        <w:rPr>
          <w:lang w:val="en-AU"/>
        </w:rPr>
      </w:pPr>
      <w:r w:rsidRPr="00B27050">
        <w:rPr>
          <w:lang w:val="en-AU"/>
        </w:rPr>
        <w:br/>
      </w:r>
    </w:p>
    <w:p w14:paraId="273CBC4B" w14:textId="77777777" w:rsidR="0078240C" w:rsidRPr="00B27050" w:rsidRDefault="0078240C" w:rsidP="007102B6">
      <w:pPr>
        <w:pStyle w:val="ListParagraph"/>
        <w:numPr>
          <w:ilvl w:val="0"/>
          <w:numId w:val="10"/>
        </w:numPr>
        <w:rPr>
          <w:b/>
          <w:bCs/>
          <w:lang w:val="en-AU"/>
        </w:rPr>
      </w:pPr>
      <w:r w:rsidRPr="00B27050">
        <w:rPr>
          <w:b/>
          <w:bCs/>
          <w:lang w:val="en-AU"/>
        </w:rPr>
        <w:t>Relinquishment of carbon credits if harvesting resumed during permanence period</w:t>
      </w:r>
    </w:p>
    <w:p w14:paraId="60104929" w14:textId="77777777" w:rsidR="0078240C" w:rsidRPr="00B27050" w:rsidRDefault="0078240C" w:rsidP="0078240C">
      <w:pPr>
        <w:rPr>
          <w:lang w:val="en-AU"/>
        </w:rPr>
      </w:pPr>
      <w:r w:rsidRPr="00B27050">
        <w:rPr>
          <w:lang w:val="en-AU"/>
        </w:rPr>
        <w:t>Question: Should the legislative rules be amended to require the project proponent to notify the Regulator if timber harvesting resumes? </w:t>
      </w:r>
    </w:p>
    <w:p w14:paraId="6BD38169" w14:textId="77777777" w:rsidR="0078240C" w:rsidRPr="00B27050" w:rsidRDefault="0078240C" w:rsidP="0078240C">
      <w:pPr>
        <w:rPr>
          <w:lang w:val="en-AU"/>
        </w:rPr>
      </w:pPr>
      <w:r w:rsidRPr="00B27050">
        <w:rPr>
          <w:lang w:val="en-AU"/>
        </w:rPr>
        <w:t>Section 85 of the CFI Act allows for rules to be made requiring the proponent to notify the Regulator of a matter. That section could be used in this case to make sure the proponent notifies the Regulator if harvesting resumes, thereby triggering the requirement under the enforceable undertaking to relinquish ACCUs.</w:t>
      </w:r>
    </w:p>
    <w:p w14:paraId="2C1878FB" w14:textId="77777777" w:rsidR="0078240C" w:rsidRPr="00B27050" w:rsidRDefault="0078240C" w:rsidP="0078240C">
      <w:pPr>
        <w:rPr>
          <w:lang w:val="en-AU"/>
        </w:rPr>
      </w:pPr>
      <w:r w:rsidRPr="00B27050">
        <w:rPr>
          <w:b/>
          <w:bCs/>
          <w:lang w:val="en-AU"/>
        </w:rPr>
        <w:t>Answer:</w:t>
      </w:r>
    </w:p>
    <w:p w14:paraId="41E5F4F3" w14:textId="77777777" w:rsidR="0078240C" w:rsidRPr="00B27050" w:rsidRDefault="0078240C" w:rsidP="0078240C">
      <w:pPr>
        <w:rPr>
          <w:lang w:val="en-AU"/>
        </w:rPr>
      </w:pPr>
      <w:r w:rsidRPr="00B27050">
        <w:rPr>
          <w:lang w:val="en-AU"/>
        </w:rPr>
        <w:t>Yes. Notification should trigger:</w:t>
      </w:r>
    </w:p>
    <w:p w14:paraId="2DF2D7DC" w14:textId="77777777" w:rsidR="0078240C" w:rsidRPr="00B27050" w:rsidRDefault="0078240C" w:rsidP="0078240C">
      <w:pPr>
        <w:rPr>
          <w:lang w:val="en-AU"/>
        </w:rPr>
      </w:pPr>
      <w:r w:rsidRPr="00B27050">
        <w:rPr>
          <w:lang w:val="en-AU"/>
        </w:rPr>
        <w:t>•</w:t>
      </w:r>
      <w:r w:rsidRPr="00B27050">
        <w:rPr>
          <w:lang w:val="en-AU"/>
        </w:rPr>
        <w:tab/>
        <w:t>Immediate review of project status.</w:t>
      </w:r>
    </w:p>
    <w:p w14:paraId="584FD4A2" w14:textId="77777777" w:rsidR="0078240C" w:rsidRPr="00B27050" w:rsidRDefault="0078240C" w:rsidP="0078240C">
      <w:pPr>
        <w:rPr>
          <w:lang w:val="en-AU"/>
        </w:rPr>
      </w:pPr>
      <w:r w:rsidRPr="00B27050">
        <w:rPr>
          <w:lang w:val="en-AU"/>
        </w:rPr>
        <w:t>•</w:t>
      </w:r>
      <w:r w:rsidRPr="00B27050">
        <w:rPr>
          <w:lang w:val="en-AU"/>
        </w:rPr>
        <w:tab/>
        <w:t>Relinquishment of ACCUs as per enforceable undertakings.</w:t>
      </w:r>
    </w:p>
    <w:p w14:paraId="099D3029" w14:textId="77777777" w:rsidR="0078240C" w:rsidRPr="00B27050" w:rsidRDefault="0078240C" w:rsidP="0078240C">
      <w:pPr>
        <w:rPr>
          <w:lang w:val="en-AU"/>
        </w:rPr>
      </w:pPr>
      <w:r w:rsidRPr="00B27050">
        <w:rPr>
          <w:lang w:val="en-AU"/>
        </w:rPr>
        <w:t>•</w:t>
      </w:r>
      <w:r w:rsidRPr="00B27050">
        <w:rPr>
          <w:lang w:val="en-AU"/>
        </w:rPr>
        <w:tab/>
        <w:t>Potential penalties for non-compliance </w:t>
      </w:r>
    </w:p>
    <w:p w14:paraId="6E4D382F" w14:textId="77777777" w:rsidR="0078240C" w:rsidRPr="00B27050" w:rsidRDefault="0078240C" w:rsidP="0078240C">
      <w:pPr>
        <w:rPr>
          <w:lang w:val="en-AU"/>
        </w:rPr>
      </w:pPr>
      <w:r w:rsidRPr="00B27050">
        <w:rPr>
          <w:lang w:val="en-AU"/>
        </w:rPr>
        <w:t>This emphasises the need to only give ACCUs for stopping logging and conversion into national parks where permanence can be guaranteed.</w:t>
      </w:r>
    </w:p>
    <w:p w14:paraId="2371521F" w14:textId="77777777" w:rsidR="0078240C" w:rsidRPr="00B27050" w:rsidRDefault="0078240C" w:rsidP="0078240C">
      <w:pPr>
        <w:rPr>
          <w:lang w:val="en-AU"/>
        </w:rPr>
      </w:pPr>
      <w:r w:rsidRPr="00B27050">
        <w:rPr>
          <w:lang w:val="en-AU"/>
        </w:rPr>
        <w:br/>
      </w:r>
    </w:p>
    <w:p w14:paraId="4D682A3B" w14:textId="77777777" w:rsidR="0078240C" w:rsidRPr="00B27050" w:rsidRDefault="0078240C" w:rsidP="007102B6">
      <w:pPr>
        <w:pStyle w:val="ListParagraph"/>
        <w:numPr>
          <w:ilvl w:val="0"/>
          <w:numId w:val="10"/>
        </w:numPr>
        <w:rPr>
          <w:b/>
          <w:bCs/>
          <w:lang w:val="en-AU"/>
        </w:rPr>
      </w:pPr>
      <w:r w:rsidRPr="00B27050">
        <w:rPr>
          <w:b/>
          <w:bCs/>
          <w:lang w:val="en-AU"/>
        </w:rPr>
        <w:t>Part 4—Crediting period for projects</w:t>
      </w:r>
    </w:p>
    <w:p w14:paraId="3028F167" w14:textId="77777777" w:rsidR="0078240C" w:rsidRPr="00B27050" w:rsidRDefault="0078240C" w:rsidP="0078240C">
      <w:pPr>
        <w:rPr>
          <w:lang w:val="en-AU"/>
        </w:rPr>
      </w:pPr>
      <w:r w:rsidRPr="00B27050">
        <w:rPr>
          <w:lang w:val="en-AU"/>
        </w:rPr>
        <w:t>Questions: Should the crediting period of a project be extended if, after the project starts, the project proponent: (a) adds a new carbon protection area; or (b) further reduces harvesting? If crediting periods can be extended for further reductions in harvesting (without new carbon protection areas), should the option to extend be contingent on the new reduction being greater than a prescribed minimum?</w:t>
      </w:r>
    </w:p>
    <w:p w14:paraId="2DC1B956" w14:textId="77777777" w:rsidR="0078240C" w:rsidRPr="00B27050" w:rsidRDefault="0078240C" w:rsidP="0078240C">
      <w:pPr>
        <w:rPr>
          <w:lang w:val="en-AU"/>
        </w:rPr>
      </w:pPr>
      <w:r w:rsidRPr="00B27050">
        <w:rPr>
          <w:lang w:val="en-AU"/>
        </w:rPr>
        <w:t xml:space="preserve">Hypothetical example: When first declared, hypothetical project X involves stopping harvesting in a </w:t>
      </w:r>
      <w:proofErr w:type="gramStart"/>
      <w:r w:rsidRPr="00B27050">
        <w:rPr>
          <w:lang w:val="en-AU"/>
        </w:rPr>
        <w:t>20,000 hectare</w:t>
      </w:r>
      <w:proofErr w:type="gramEnd"/>
      <w:r w:rsidRPr="00B27050">
        <w:rPr>
          <w:lang w:val="en-AU"/>
        </w:rPr>
        <w:t xml:space="preserve"> carbon protection area and reducing harvesting by 25% across the remainder of the project area. 7 years into the crediting period, the project proponent wants to add a new </w:t>
      </w:r>
      <w:proofErr w:type="gramStart"/>
      <w:r w:rsidRPr="00B27050">
        <w:rPr>
          <w:lang w:val="en-AU"/>
        </w:rPr>
        <w:t>30,000 hectare</w:t>
      </w:r>
      <w:proofErr w:type="gramEnd"/>
      <w:r w:rsidRPr="00B27050">
        <w:rPr>
          <w:lang w:val="en-AU"/>
        </w:rPr>
        <w:t xml:space="preserve"> carbon protection area. In this hypothetical, there are two potential options being considered. </w:t>
      </w:r>
    </w:p>
    <w:p w14:paraId="7BEFE591" w14:textId="77777777" w:rsidR="0078240C" w:rsidRPr="00B27050" w:rsidRDefault="0078240C" w:rsidP="0078240C">
      <w:pPr>
        <w:rPr>
          <w:lang w:val="en-AU"/>
        </w:rPr>
      </w:pPr>
      <w:r w:rsidRPr="00B27050">
        <w:rPr>
          <w:b/>
          <w:bCs/>
          <w:lang w:val="en-AU"/>
        </w:rPr>
        <w:lastRenderedPageBreak/>
        <w:t>Option 1</w:t>
      </w:r>
      <w:r w:rsidRPr="00B27050">
        <w:rPr>
          <w:lang w:val="en-AU"/>
        </w:rPr>
        <w:t>: The crediting period remains unchanged at the original 15 years, but the project receives additional credits for the remaining 8 years of the crediting period on account for the further decrease in harvesting relative to baseline harvesting levels. </w:t>
      </w:r>
    </w:p>
    <w:p w14:paraId="3D46D6E6" w14:textId="77777777" w:rsidR="0078240C" w:rsidRPr="00B27050" w:rsidRDefault="0078240C" w:rsidP="0078240C">
      <w:pPr>
        <w:rPr>
          <w:lang w:val="en-AU"/>
        </w:rPr>
      </w:pPr>
      <w:r w:rsidRPr="00B27050">
        <w:rPr>
          <w:b/>
          <w:bCs/>
          <w:lang w:val="en-AU"/>
        </w:rPr>
        <w:t>Option 2</w:t>
      </w:r>
      <w:r w:rsidRPr="00B27050">
        <w:rPr>
          <w:lang w:val="en-AU"/>
        </w:rPr>
        <w:t>: The crediting period is extended for a specified period (i.e. 5 years) and, over this period, the baseline harvest level is reset to the lower of: </w:t>
      </w:r>
    </w:p>
    <w:p w14:paraId="61AF0CB2" w14:textId="77777777" w:rsidR="0078240C" w:rsidRPr="00B27050" w:rsidRDefault="0078240C" w:rsidP="0078240C">
      <w:pPr>
        <w:numPr>
          <w:ilvl w:val="0"/>
          <w:numId w:val="6"/>
        </w:numPr>
        <w:rPr>
          <w:lang w:val="en-AU"/>
        </w:rPr>
      </w:pPr>
      <w:r w:rsidRPr="00B27050">
        <w:rPr>
          <w:lang w:val="en-AU"/>
        </w:rPr>
        <w:t>20% below the average baseline harvest level of the original crediting period; and</w:t>
      </w:r>
    </w:p>
    <w:p w14:paraId="1386EC06" w14:textId="77777777" w:rsidR="0078240C" w:rsidRPr="00B27050" w:rsidRDefault="0078240C" w:rsidP="0078240C">
      <w:pPr>
        <w:numPr>
          <w:ilvl w:val="0"/>
          <w:numId w:val="6"/>
        </w:numPr>
        <w:rPr>
          <w:lang w:val="en-AU"/>
        </w:rPr>
      </w:pPr>
      <w:r w:rsidRPr="00B27050">
        <w:rPr>
          <w:lang w:val="en-AU"/>
        </w:rPr>
        <w:t>the average harvest levels over the first 7 years of the crediting period, excluding years in which credits were not issued. </w:t>
      </w:r>
    </w:p>
    <w:p w14:paraId="3A19501D" w14:textId="77777777" w:rsidR="0078240C" w:rsidRPr="00B27050" w:rsidRDefault="0078240C" w:rsidP="0078240C">
      <w:pPr>
        <w:rPr>
          <w:lang w:val="en-AU"/>
        </w:rPr>
      </w:pPr>
      <w:r w:rsidRPr="00B27050">
        <w:rPr>
          <w:lang w:val="en-AU"/>
        </w:rPr>
        <w:t>This option would result in the project receiving additional credits from the remaining 8 years of the original crediting period and then more credits during the extension period (assuming the other relevant requirements are satisfied).</w:t>
      </w:r>
    </w:p>
    <w:p w14:paraId="78232945" w14:textId="77777777" w:rsidR="0078240C" w:rsidRPr="00B27050" w:rsidRDefault="0078240C" w:rsidP="0078240C">
      <w:pPr>
        <w:rPr>
          <w:lang w:val="en-AU"/>
        </w:rPr>
      </w:pPr>
      <w:r w:rsidRPr="00B27050">
        <w:rPr>
          <w:b/>
          <w:bCs/>
          <w:lang w:val="en-AU"/>
        </w:rPr>
        <w:t>Answer</w:t>
      </w:r>
      <w:r w:rsidRPr="00B27050">
        <w:rPr>
          <w:lang w:val="en-AU"/>
        </w:rPr>
        <w:t>:</w:t>
      </w:r>
    </w:p>
    <w:p w14:paraId="77F339DE" w14:textId="77777777" w:rsidR="0078240C" w:rsidRPr="00B27050" w:rsidRDefault="0078240C" w:rsidP="0078240C">
      <w:pPr>
        <w:rPr>
          <w:lang w:val="en-AU"/>
        </w:rPr>
      </w:pPr>
      <w:r w:rsidRPr="00B27050">
        <w:rPr>
          <w:lang w:val="en-AU"/>
        </w:rPr>
        <w:t>Option 2. To encourage further protection during the crediting period. </w:t>
      </w:r>
    </w:p>
    <w:p w14:paraId="48FFF8F4" w14:textId="77777777" w:rsidR="0078240C" w:rsidRPr="00B27050" w:rsidRDefault="0078240C" w:rsidP="0078240C">
      <w:pPr>
        <w:rPr>
          <w:lang w:val="en-AU"/>
        </w:rPr>
      </w:pPr>
    </w:p>
    <w:p w14:paraId="1EFE737F" w14:textId="77777777" w:rsidR="0078240C" w:rsidRPr="00B27050" w:rsidRDefault="0078240C" w:rsidP="007102B6">
      <w:pPr>
        <w:pStyle w:val="ListParagraph"/>
        <w:numPr>
          <w:ilvl w:val="0"/>
          <w:numId w:val="10"/>
        </w:numPr>
        <w:rPr>
          <w:b/>
          <w:bCs/>
          <w:lang w:val="en-AU"/>
        </w:rPr>
      </w:pPr>
      <w:r w:rsidRPr="00B27050">
        <w:rPr>
          <w:b/>
          <w:bCs/>
          <w:lang w:val="en-AU"/>
        </w:rPr>
        <w:t>Division 5.4— Representative model plots and baseline estate model</w:t>
      </w:r>
    </w:p>
    <w:p w14:paraId="22A19439" w14:textId="77777777" w:rsidR="0078240C" w:rsidRPr="00B27050" w:rsidRDefault="0078240C" w:rsidP="0078240C">
      <w:pPr>
        <w:rPr>
          <w:lang w:val="en-AU"/>
        </w:rPr>
      </w:pPr>
      <w:r w:rsidRPr="00B27050">
        <w:rPr>
          <w:lang w:val="en-AU"/>
        </w:rPr>
        <w:t xml:space="preserve">Question 1: Section 28 is drafted on the basis that harvest events are modelled at the coup level using </w:t>
      </w:r>
      <w:proofErr w:type="spellStart"/>
      <w:r w:rsidRPr="00B27050">
        <w:rPr>
          <w:lang w:val="en-AU"/>
        </w:rPr>
        <w:t>FullCAM’s</w:t>
      </w:r>
      <w:proofErr w:type="spellEnd"/>
      <w:r w:rsidRPr="00B27050">
        <w:rPr>
          <w:lang w:val="en-AU"/>
        </w:rPr>
        <w:t xml:space="preserve"> ‘% of the forest that is affected by the harvest event’ functionality. With this approach, if there are 100 mature trees in a 1-hectare coup and 70 of the trees are harvested, the event would be modelled as affecting 70% of the forest in the 1-hectare coup.</w:t>
      </w:r>
    </w:p>
    <w:p w14:paraId="2BC01451" w14:textId="77777777" w:rsidR="0078240C" w:rsidRPr="00B27050" w:rsidRDefault="0078240C" w:rsidP="0078240C">
      <w:pPr>
        <w:rPr>
          <w:lang w:val="en-AU"/>
        </w:rPr>
      </w:pPr>
      <w:r w:rsidRPr="00B27050">
        <w:rPr>
          <w:lang w:val="en-AU"/>
        </w:rPr>
        <w:t xml:space="preserve">The alternative is to only model the areas where trees are removed during the harvest event. In the hypothetical, rather than modelling the harvesting event as occurring across 1 hectare, a 0.7- hectare area would be modelled as having trees removed (the equivalent of a </w:t>
      </w:r>
      <w:proofErr w:type="spellStart"/>
      <w:r w:rsidRPr="00B27050">
        <w:rPr>
          <w:lang w:val="en-AU"/>
        </w:rPr>
        <w:t>clearfell</w:t>
      </w:r>
      <w:proofErr w:type="spellEnd"/>
      <w:r w:rsidRPr="00B27050">
        <w:rPr>
          <w:lang w:val="en-AU"/>
        </w:rPr>
        <w:t xml:space="preserve"> harvest event over the 0.7-hectare area). </w:t>
      </w:r>
    </w:p>
    <w:p w14:paraId="02D83774" w14:textId="77777777" w:rsidR="0078240C" w:rsidRPr="00B27050" w:rsidRDefault="0078240C" w:rsidP="0078240C">
      <w:pPr>
        <w:rPr>
          <w:lang w:val="en-AU"/>
        </w:rPr>
      </w:pPr>
      <w:r w:rsidRPr="00B27050">
        <w:rPr>
          <w:lang w:val="en-AU"/>
        </w:rPr>
        <w:t>Which approach should be used in the method? </w:t>
      </w:r>
    </w:p>
    <w:p w14:paraId="3BD41051" w14:textId="77777777" w:rsidR="0078240C" w:rsidRPr="00B27050" w:rsidRDefault="0078240C" w:rsidP="0078240C">
      <w:pPr>
        <w:rPr>
          <w:lang w:val="en-AU"/>
        </w:rPr>
      </w:pPr>
      <w:r w:rsidRPr="00B27050">
        <w:rPr>
          <w:lang w:val="en-AU"/>
        </w:rPr>
        <w:t>Question 2: The representative clearing plots assume areas cleared to facilitate harvesting do not regenerate after the event. An alternative approach to accounting for the impacts of these types of clearing events on forest recovery would be for the representative clearing plots to require a natural regeneration event to be modelled that is scheduled to occur 5-years after the clearing event.</w:t>
      </w:r>
    </w:p>
    <w:p w14:paraId="5182CF97" w14:textId="77777777" w:rsidR="0078240C" w:rsidRPr="00B27050" w:rsidRDefault="0078240C" w:rsidP="0078240C">
      <w:pPr>
        <w:rPr>
          <w:lang w:val="en-AU"/>
        </w:rPr>
      </w:pPr>
      <w:r w:rsidRPr="00B27050">
        <w:rPr>
          <w:lang w:val="en-AU"/>
        </w:rPr>
        <w:t>Which approach should be used?</w:t>
      </w:r>
    </w:p>
    <w:p w14:paraId="2262AE5F" w14:textId="77777777" w:rsidR="0078240C" w:rsidRPr="00B27050" w:rsidRDefault="0078240C" w:rsidP="0078240C">
      <w:pPr>
        <w:rPr>
          <w:lang w:val="en-AU"/>
        </w:rPr>
      </w:pPr>
      <w:r w:rsidRPr="00B27050">
        <w:rPr>
          <w:b/>
          <w:bCs/>
          <w:lang w:val="en-AU"/>
        </w:rPr>
        <w:lastRenderedPageBreak/>
        <w:t>Answer</w:t>
      </w:r>
      <w:r w:rsidRPr="00B27050">
        <w:rPr>
          <w:lang w:val="en-AU"/>
        </w:rPr>
        <w:t>:</w:t>
      </w:r>
    </w:p>
    <w:p w14:paraId="3EC8362C" w14:textId="77777777" w:rsidR="0078240C" w:rsidRPr="00B27050" w:rsidRDefault="0078240C" w:rsidP="0078240C">
      <w:pPr>
        <w:rPr>
          <w:lang w:val="en-AU"/>
        </w:rPr>
      </w:pPr>
      <w:r w:rsidRPr="00B27050">
        <w:rPr>
          <w:lang w:val="en-AU"/>
        </w:rPr>
        <w:t>Carbon credits should not be given for modified logging, for accountability and monitoring the only deferral that should be considered is where defined areas of productive forest are set aside from logging, this is the only way it can be checked and monitored.</w:t>
      </w:r>
    </w:p>
    <w:p w14:paraId="21D310A6" w14:textId="77777777" w:rsidR="0078240C" w:rsidRPr="007102B6" w:rsidRDefault="0078240C" w:rsidP="007102B6">
      <w:pPr>
        <w:rPr>
          <w:b/>
          <w:bCs/>
          <w:lang w:val="en-AU"/>
        </w:rPr>
      </w:pPr>
    </w:p>
    <w:p w14:paraId="393281E7" w14:textId="77777777" w:rsidR="0078240C" w:rsidRPr="00B27050" w:rsidRDefault="0078240C" w:rsidP="007102B6">
      <w:pPr>
        <w:pStyle w:val="ListParagraph"/>
        <w:numPr>
          <w:ilvl w:val="0"/>
          <w:numId w:val="10"/>
        </w:numPr>
        <w:rPr>
          <w:b/>
          <w:bCs/>
          <w:lang w:val="en-AU"/>
        </w:rPr>
      </w:pPr>
      <w:r w:rsidRPr="00B27050">
        <w:rPr>
          <w:b/>
          <w:bCs/>
          <w:lang w:val="en-AU"/>
        </w:rPr>
        <w:t>Estimation of carbon stocks in harvested wood products Issue: </w:t>
      </w:r>
    </w:p>
    <w:p w14:paraId="61AE4D56" w14:textId="77777777" w:rsidR="0078240C" w:rsidRPr="00B27050" w:rsidRDefault="0078240C" w:rsidP="0078240C">
      <w:pPr>
        <w:rPr>
          <w:lang w:val="en-AU"/>
        </w:rPr>
      </w:pPr>
      <w:proofErr w:type="spellStart"/>
      <w:r w:rsidRPr="00B27050">
        <w:rPr>
          <w:lang w:val="en-AU"/>
        </w:rPr>
        <w:t>FullCAM</w:t>
      </w:r>
      <w:proofErr w:type="spellEnd"/>
      <w:r w:rsidRPr="00B27050">
        <w:rPr>
          <w:lang w:val="en-AU"/>
        </w:rPr>
        <w:t xml:space="preserve"> is used to model harvested wood products in the Carbon Credits (Carbon Farming Initiative—Plantation Forestry) Methodology Determination 2022. However, it is not used to model harvested wood products in service or landfills for the purpose of the National Inventory Report. </w:t>
      </w:r>
    </w:p>
    <w:p w14:paraId="76D9D4F3" w14:textId="77777777" w:rsidR="0078240C" w:rsidRPr="00B27050" w:rsidRDefault="0078240C" w:rsidP="0078240C">
      <w:pPr>
        <w:rPr>
          <w:lang w:val="en-AU"/>
        </w:rPr>
      </w:pPr>
      <w:r w:rsidRPr="00B27050">
        <w:rPr>
          <w:lang w:val="en-AU"/>
        </w:rPr>
        <w:t>Two options are being considered: </w:t>
      </w:r>
    </w:p>
    <w:p w14:paraId="1DCB6005" w14:textId="77777777" w:rsidR="0078240C" w:rsidRPr="00B27050" w:rsidRDefault="0078240C" w:rsidP="0078240C">
      <w:pPr>
        <w:rPr>
          <w:lang w:val="en-AU"/>
        </w:rPr>
      </w:pPr>
      <w:r w:rsidRPr="00B27050">
        <w:rPr>
          <w:lang w:val="en-AU"/>
        </w:rPr>
        <w:t xml:space="preserve">Option 1 – use </w:t>
      </w:r>
      <w:proofErr w:type="spellStart"/>
      <w:r w:rsidRPr="00B27050">
        <w:rPr>
          <w:lang w:val="en-AU"/>
        </w:rPr>
        <w:t>FullCAM</w:t>
      </w:r>
      <w:proofErr w:type="spellEnd"/>
      <w:r w:rsidRPr="00B27050">
        <w:rPr>
          <w:lang w:val="en-AU"/>
        </w:rPr>
        <w:t xml:space="preserve">, justified </w:t>
      </w:r>
      <w:proofErr w:type="gramStart"/>
      <w:r w:rsidRPr="00B27050">
        <w:rPr>
          <w:lang w:val="en-AU"/>
        </w:rPr>
        <w:t>on the basis of</w:t>
      </w:r>
      <w:proofErr w:type="gramEnd"/>
      <w:r w:rsidRPr="00B27050">
        <w:rPr>
          <w:lang w:val="en-AU"/>
        </w:rPr>
        <w:t xml:space="preserve"> simplicity and consistency. </w:t>
      </w:r>
    </w:p>
    <w:p w14:paraId="1E2F6F78" w14:textId="77777777" w:rsidR="0078240C" w:rsidRPr="00B27050" w:rsidRDefault="0078240C" w:rsidP="0078240C">
      <w:pPr>
        <w:rPr>
          <w:lang w:val="en-AU"/>
        </w:rPr>
      </w:pPr>
      <w:r w:rsidRPr="00B27050">
        <w:rPr>
          <w:lang w:val="en-AU"/>
        </w:rPr>
        <w:t>Option 2 – use an integrated harvested wood products &amp; landfill model that better reflects the model used for the purpose of the National Inventory Report. </w:t>
      </w:r>
    </w:p>
    <w:p w14:paraId="1CD4054B" w14:textId="77777777" w:rsidR="0078240C" w:rsidRPr="00B27050" w:rsidRDefault="0078240C" w:rsidP="0078240C">
      <w:pPr>
        <w:rPr>
          <w:lang w:val="en-AU"/>
        </w:rPr>
      </w:pPr>
      <w:r w:rsidRPr="00B27050">
        <w:rPr>
          <w:lang w:val="en-AU"/>
        </w:rPr>
        <w:t>Question: Which model should be used for the purpose of the method?</w:t>
      </w:r>
    </w:p>
    <w:p w14:paraId="0CDBD8A7" w14:textId="77777777" w:rsidR="0078240C" w:rsidRPr="00B27050" w:rsidRDefault="0078240C" w:rsidP="0078240C">
      <w:pPr>
        <w:rPr>
          <w:lang w:val="en-AU"/>
        </w:rPr>
      </w:pPr>
      <w:r w:rsidRPr="00B27050">
        <w:rPr>
          <w:b/>
          <w:bCs/>
          <w:lang w:val="en-AU"/>
        </w:rPr>
        <w:t>Answer</w:t>
      </w:r>
      <w:r w:rsidRPr="00B27050">
        <w:rPr>
          <w:lang w:val="en-AU"/>
        </w:rPr>
        <w:t>:</w:t>
      </w:r>
    </w:p>
    <w:p w14:paraId="6913404E" w14:textId="77777777" w:rsidR="0078240C" w:rsidRPr="00B27050" w:rsidRDefault="0078240C" w:rsidP="0078240C">
      <w:pPr>
        <w:rPr>
          <w:lang w:val="en-AU"/>
        </w:rPr>
      </w:pPr>
      <w:r w:rsidRPr="00B27050">
        <w:rPr>
          <w:lang w:val="en-AU"/>
        </w:rPr>
        <w:t xml:space="preserve">A more detailed, integrated model is preferred over </w:t>
      </w:r>
      <w:proofErr w:type="spellStart"/>
      <w:r w:rsidRPr="00B27050">
        <w:rPr>
          <w:lang w:val="en-AU"/>
        </w:rPr>
        <w:t>FullCAM</w:t>
      </w:r>
      <w:proofErr w:type="spellEnd"/>
      <w:r w:rsidRPr="00B27050">
        <w:rPr>
          <w:lang w:val="en-AU"/>
        </w:rPr>
        <w:t xml:space="preserve"> for harvested wood products.</w:t>
      </w:r>
    </w:p>
    <w:p w14:paraId="2296CEAC" w14:textId="77777777" w:rsidR="0078240C" w:rsidRPr="00B27050" w:rsidRDefault="0078240C" w:rsidP="0078240C">
      <w:pPr>
        <w:rPr>
          <w:lang w:val="en-AU"/>
        </w:rPr>
      </w:pPr>
      <w:r w:rsidRPr="00B27050">
        <w:rPr>
          <w:lang w:val="en-AU"/>
        </w:rPr>
        <w:br/>
      </w:r>
    </w:p>
    <w:p w14:paraId="0E836A43" w14:textId="77777777" w:rsidR="0078240C" w:rsidRPr="00B27050" w:rsidRDefault="0078240C" w:rsidP="007102B6">
      <w:pPr>
        <w:pStyle w:val="ListParagraph"/>
        <w:numPr>
          <w:ilvl w:val="0"/>
          <w:numId w:val="10"/>
        </w:numPr>
        <w:rPr>
          <w:b/>
          <w:bCs/>
          <w:lang w:val="en-AU"/>
        </w:rPr>
      </w:pPr>
      <w:r w:rsidRPr="00B27050">
        <w:rPr>
          <w:b/>
          <w:bCs/>
          <w:lang w:val="en-AU"/>
        </w:rPr>
        <w:t>Private native forests leakage deduction (</w:t>
      </w:r>
      <w:proofErr w:type="spellStart"/>
      <w:r w:rsidRPr="00B27050">
        <w:rPr>
          <w:b/>
          <w:bCs/>
          <w:lang w:val="en-AU"/>
        </w:rPr>
        <w:t>PNFLDi</w:t>
      </w:r>
      <w:proofErr w:type="spellEnd"/>
      <w:r w:rsidRPr="00B27050">
        <w:rPr>
          <w:b/>
          <w:bCs/>
          <w:lang w:val="en-AU"/>
        </w:rPr>
        <w:t>)</w:t>
      </w:r>
    </w:p>
    <w:p w14:paraId="629054A5" w14:textId="77777777" w:rsidR="0078240C" w:rsidRPr="00B27050" w:rsidRDefault="0078240C" w:rsidP="0078240C">
      <w:pPr>
        <w:rPr>
          <w:lang w:val="en-AU"/>
        </w:rPr>
      </w:pPr>
      <w:r w:rsidRPr="00B27050">
        <w:rPr>
          <w:lang w:val="en-AU"/>
        </w:rPr>
        <w:t>Question: Should years affected by major wildfire events be excluded from the baseline period when calculating the PNF leakage baseline harvest level and, if so, how should this be done robustly given data limitations?</w:t>
      </w:r>
    </w:p>
    <w:p w14:paraId="560C22A5" w14:textId="77777777" w:rsidR="0078240C" w:rsidRPr="00B27050" w:rsidRDefault="0078240C" w:rsidP="0078240C">
      <w:pPr>
        <w:rPr>
          <w:lang w:val="en-AU"/>
        </w:rPr>
      </w:pPr>
      <w:r w:rsidRPr="00B27050">
        <w:rPr>
          <w:b/>
          <w:bCs/>
          <w:lang w:val="en-AU"/>
        </w:rPr>
        <w:t>Answer</w:t>
      </w:r>
      <w:r w:rsidRPr="00B27050">
        <w:rPr>
          <w:lang w:val="en-AU"/>
        </w:rPr>
        <w:t>: </w:t>
      </w:r>
    </w:p>
    <w:p w14:paraId="2A99F294" w14:textId="77777777" w:rsidR="0078240C" w:rsidRPr="00B27050" w:rsidRDefault="0078240C" w:rsidP="0078240C">
      <w:pPr>
        <w:rPr>
          <w:lang w:val="en-AU"/>
        </w:rPr>
      </w:pPr>
      <w:r w:rsidRPr="00B27050">
        <w:rPr>
          <w:lang w:val="en-AU"/>
        </w:rPr>
        <w:t>Wildfire years should not be excluded; they are part of the real operating environment, given that under climate change fires are expected to become more frequent and intensive they will have similar impacts in the future,</w:t>
      </w:r>
    </w:p>
    <w:p w14:paraId="6EFBDB0C" w14:textId="77777777" w:rsidR="0078240C" w:rsidRPr="00B27050" w:rsidRDefault="0078240C" w:rsidP="0078240C">
      <w:pPr>
        <w:rPr>
          <w:lang w:val="en-AU"/>
        </w:rPr>
      </w:pPr>
      <w:r w:rsidRPr="00B27050">
        <w:rPr>
          <w:lang w:val="en-AU"/>
        </w:rPr>
        <w:t xml:space="preserve">There has still been no assessment of sustainable yields based on remeasuring of growth plots in affected forests, The fires resulted in the death of numerous mature trees and a large proportion of regrowth. The reduction in actual yields only had a direct impact for a </w:t>
      </w:r>
      <w:r w:rsidRPr="00B27050">
        <w:rPr>
          <w:lang w:val="en-AU"/>
        </w:rPr>
        <w:lastRenderedPageBreak/>
        <w:t>portion of forests one year before logging resumed under normal protocols. It is considered that the actual loss of trees is still not reflected in sustainable yield estimates. </w:t>
      </w:r>
    </w:p>
    <w:p w14:paraId="4F0F5FE8" w14:textId="77777777" w:rsidR="0078240C" w:rsidRDefault="0078240C" w:rsidP="0078240C">
      <w:pPr>
        <w:rPr>
          <w:lang w:val="en-AU"/>
        </w:rPr>
      </w:pPr>
    </w:p>
    <w:p w14:paraId="1BDF2D90" w14:textId="77777777" w:rsidR="0078240C" w:rsidRDefault="0078240C" w:rsidP="0078240C">
      <w:pPr>
        <w:rPr>
          <w:lang w:val="en-AU"/>
        </w:rPr>
      </w:pPr>
    </w:p>
    <w:p w14:paraId="5BE39E77" w14:textId="77777777" w:rsidR="0078240C" w:rsidRDefault="0078240C" w:rsidP="0078240C">
      <w:pPr>
        <w:rPr>
          <w:lang w:val="en-AU"/>
        </w:rPr>
      </w:pPr>
      <w:r>
        <w:rPr>
          <w:lang w:val="en-AU"/>
        </w:rPr>
        <w:t>Thank you for the opportunity to contribute this submission. I look forward to a confirmation of its receipt.</w:t>
      </w:r>
    </w:p>
    <w:p w14:paraId="46431B10" w14:textId="77777777" w:rsidR="0078240C" w:rsidRDefault="0078240C" w:rsidP="0078240C">
      <w:pPr>
        <w:rPr>
          <w:lang w:val="en-AU"/>
        </w:rPr>
      </w:pPr>
    </w:p>
    <w:p w14:paraId="17721ADE" w14:textId="77777777" w:rsidR="0078240C" w:rsidRDefault="0078240C" w:rsidP="0078240C">
      <w:pPr>
        <w:rPr>
          <w:lang w:val="en-AU"/>
        </w:rPr>
      </w:pPr>
      <w:r>
        <w:rPr>
          <w:lang w:val="en-AU"/>
        </w:rPr>
        <w:t>Regards,</w:t>
      </w:r>
    </w:p>
    <w:p w14:paraId="0F7D7943" w14:textId="77777777" w:rsidR="0078240C" w:rsidRDefault="0078240C" w:rsidP="0078240C">
      <w:pPr>
        <w:rPr>
          <w:lang w:val="en-AU"/>
        </w:rPr>
      </w:pPr>
    </w:p>
    <w:p w14:paraId="5BA1C52C" w14:textId="77777777" w:rsidR="0078240C" w:rsidRDefault="0078240C" w:rsidP="0078240C">
      <w:pPr>
        <w:rPr>
          <w:lang w:val="en-AU"/>
        </w:rPr>
      </w:pPr>
      <w:r>
        <w:rPr>
          <w:lang w:val="en-AU"/>
        </w:rPr>
        <w:t>Signed</w:t>
      </w:r>
    </w:p>
    <w:p w14:paraId="714D5524" w14:textId="77777777" w:rsidR="0078240C" w:rsidRDefault="0078240C"/>
    <w:sectPr w:rsidR="007824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E6AFF"/>
    <w:multiLevelType w:val="hybridMultilevel"/>
    <w:tmpl w:val="E1CE5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21FF2"/>
    <w:multiLevelType w:val="multilevel"/>
    <w:tmpl w:val="7AE4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AF5DB3"/>
    <w:multiLevelType w:val="multilevel"/>
    <w:tmpl w:val="C47EC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2A4CC7"/>
    <w:multiLevelType w:val="multilevel"/>
    <w:tmpl w:val="8BAE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65DAE"/>
    <w:multiLevelType w:val="multilevel"/>
    <w:tmpl w:val="720498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9D6EC8"/>
    <w:multiLevelType w:val="multilevel"/>
    <w:tmpl w:val="58786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637FC"/>
    <w:multiLevelType w:val="multilevel"/>
    <w:tmpl w:val="DE1A2A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1E4DD9"/>
    <w:multiLevelType w:val="multilevel"/>
    <w:tmpl w:val="7B54E9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D93AE1"/>
    <w:multiLevelType w:val="multilevel"/>
    <w:tmpl w:val="22187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0A1519"/>
    <w:multiLevelType w:val="multilevel"/>
    <w:tmpl w:val="064C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069676">
    <w:abstractNumId w:val="9"/>
  </w:num>
  <w:num w:numId="2" w16cid:durableId="622657735">
    <w:abstractNumId w:val="5"/>
  </w:num>
  <w:num w:numId="3" w16cid:durableId="87390602">
    <w:abstractNumId w:val="1"/>
  </w:num>
  <w:num w:numId="4" w16cid:durableId="483595009">
    <w:abstractNumId w:val="8"/>
    <w:lvlOverride w:ilvl="0">
      <w:lvl w:ilvl="0">
        <w:numFmt w:val="decimal"/>
        <w:lvlText w:val="%1."/>
        <w:lvlJc w:val="left"/>
      </w:lvl>
    </w:lvlOverride>
  </w:num>
  <w:num w:numId="5" w16cid:durableId="1690370050">
    <w:abstractNumId w:val="2"/>
    <w:lvlOverride w:ilvl="0">
      <w:lvl w:ilvl="0">
        <w:numFmt w:val="decimal"/>
        <w:lvlText w:val="%1."/>
        <w:lvlJc w:val="left"/>
      </w:lvl>
    </w:lvlOverride>
  </w:num>
  <w:num w:numId="6" w16cid:durableId="952634847">
    <w:abstractNumId w:val="3"/>
  </w:num>
  <w:num w:numId="7" w16cid:durableId="1327131751">
    <w:abstractNumId w:val="6"/>
    <w:lvlOverride w:ilvl="0">
      <w:lvl w:ilvl="0">
        <w:numFmt w:val="decimal"/>
        <w:lvlText w:val="%1."/>
        <w:lvlJc w:val="left"/>
      </w:lvl>
    </w:lvlOverride>
  </w:num>
  <w:num w:numId="8" w16cid:durableId="113524412">
    <w:abstractNumId w:val="4"/>
    <w:lvlOverride w:ilvl="0">
      <w:lvl w:ilvl="0">
        <w:numFmt w:val="decimal"/>
        <w:lvlText w:val="%1."/>
        <w:lvlJc w:val="left"/>
      </w:lvl>
    </w:lvlOverride>
  </w:num>
  <w:num w:numId="9" w16cid:durableId="407581790">
    <w:abstractNumId w:val="7"/>
    <w:lvlOverride w:ilvl="0">
      <w:lvl w:ilvl="0">
        <w:numFmt w:val="decimal"/>
        <w:lvlText w:val="%1."/>
        <w:lvlJc w:val="left"/>
      </w:lvl>
    </w:lvlOverride>
  </w:num>
  <w:num w:numId="10" w16cid:durableId="46755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0C"/>
    <w:rsid w:val="00003C3E"/>
    <w:rsid w:val="000222F0"/>
    <w:rsid w:val="0002256F"/>
    <w:rsid w:val="000258F8"/>
    <w:rsid w:val="00044034"/>
    <w:rsid w:val="000706FB"/>
    <w:rsid w:val="000726A1"/>
    <w:rsid w:val="00077935"/>
    <w:rsid w:val="00083D26"/>
    <w:rsid w:val="00092F40"/>
    <w:rsid w:val="000954C8"/>
    <w:rsid w:val="000A59D0"/>
    <w:rsid w:val="000D403E"/>
    <w:rsid w:val="000E374C"/>
    <w:rsid w:val="000F323F"/>
    <w:rsid w:val="001155BD"/>
    <w:rsid w:val="0015764F"/>
    <w:rsid w:val="001848B2"/>
    <w:rsid w:val="0019561A"/>
    <w:rsid w:val="001A133C"/>
    <w:rsid w:val="001E1F3C"/>
    <w:rsid w:val="001E3239"/>
    <w:rsid w:val="001E74BC"/>
    <w:rsid w:val="001F4133"/>
    <w:rsid w:val="00207E84"/>
    <w:rsid w:val="00215F38"/>
    <w:rsid w:val="00220C09"/>
    <w:rsid w:val="00223AB5"/>
    <w:rsid w:val="00233F50"/>
    <w:rsid w:val="0026138D"/>
    <w:rsid w:val="002820DA"/>
    <w:rsid w:val="00283F14"/>
    <w:rsid w:val="00285815"/>
    <w:rsid w:val="00287194"/>
    <w:rsid w:val="00291AAA"/>
    <w:rsid w:val="00297D17"/>
    <w:rsid w:val="002A30C9"/>
    <w:rsid w:val="002A62DF"/>
    <w:rsid w:val="002A7AE7"/>
    <w:rsid w:val="002A7AF1"/>
    <w:rsid w:val="002C7A64"/>
    <w:rsid w:val="00301B18"/>
    <w:rsid w:val="00310C68"/>
    <w:rsid w:val="00323731"/>
    <w:rsid w:val="00336ADA"/>
    <w:rsid w:val="003423BA"/>
    <w:rsid w:val="00343B31"/>
    <w:rsid w:val="00351A53"/>
    <w:rsid w:val="00352820"/>
    <w:rsid w:val="0036477A"/>
    <w:rsid w:val="00365F7A"/>
    <w:rsid w:val="003711C9"/>
    <w:rsid w:val="003733A8"/>
    <w:rsid w:val="00391215"/>
    <w:rsid w:val="003B331D"/>
    <w:rsid w:val="003C1B01"/>
    <w:rsid w:val="003C1B4D"/>
    <w:rsid w:val="003C4B4F"/>
    <w:rsid w:val="003C63F0"/>
    <w:rsid w:val="003D34BE"/>
    <w:rsid w:val="0041271D"/>
    <w:rsid w:val="004129CF"/>
    <w:rsid w:val="00412A33"/>
    <w:rsid w:val="00420E1B"/>
    <w:rsid w:val="00423437"/>
    <w:rsid w:val="004529E2"/>
    <w:rsid w:val="00463849"/>
    <w:rsid w:val="004820A3"/>
    <w:rsid w:val="00496958"/>
    <w:rsid w:val="004A553C"/>
    <w:rsid w:val="004B29B8"/>
    <w:rsid w:val="004C3B7E"/>
    <w:rsid w:val="004E002D"/>
    <w:rsid w:val="004E7CB6"/>
    <w:rsid w:val="00512263"/>
    <w:rsid w:val="00521409"/>
    <w:rsid w:val="005322CC"/>
    <w:rsid w:val="0058385B"/>
    <w:rsid w:val="005858F3"/>
    <w:rsid w:val="0058743F"/>
    <w:rsid w:val="005A7CAC"/>
    <w:rsid w:val="005B6F1E"/>
    <w:rsid w:val="005C52C3"/>
    <w:rsid w:val="005F5ADE"/>
    <w:rsid w:val="00616BD5"/>
    <w:rsid w:val="0062181D"/>
    <w:rsid w:val="0062222F"/>
    <w:rsid w:val="00634982"/>
    <w:rsid w:val="00647289"/>
    <w:rsid w:val="00655C12"/>
    <w:rsid w:val="0068236C"/>
    <w:rsid w:val="00694B9C"/>
    <w:rsid w:val="006B6089"/>
    <w:rsid w:val="006C479C"/>
    <w:rsid w:val="006F2AB9"/>
    <w:rsid w:val="006F54D4"/>
    <w:rsid w:val="006F6EBA"/>
    <w:rsid w:val="007102B6"/>
    <w:rsid w:val="00715805"/>
    <w:rsid w:val="00727178"/>
    <w:rsid w:val="00761B5E"/>
    <w:rsid w:val="0078240C"/>
    <w:rsid w:val="007A1D93"/>
    <w:rsid w:val="007A6B39"/>
    <w:rsid w:val="007B6218"/>
    <w:rsid w:val="007D2195"/>
    <w:rsid w:val="007D7D87"/>
    <w:rsid w:val="007F4A5C"/>
    <w:rsid w:val="00835C50"/>
    <w:rsid w:val="00880539"/>
    <w:rsid w:val="00881804"/>
    <w:rsid w:val="00883803"/>
    <w:rsid w:val="00894EB7"/>
    <w:rsid w:val="008961F4"/>
    <w:rsid w:val="008A0730"/>
    <w:rsid w:val="008B2B5F"/>
    <w:rsid w:val="008B5AE8"/>
    <w:rsid w:val="008B5E07"/>
    <w:rsid w:val="008C4AC7"/>
    <w:rsid w:val="008D4E12"/>
    <w:rsid w:val="008D515F"/>
    <w:rsid w:val="008E6EDC"/>
    <w:rsid w:val="008F6B3A"/>
    <w:rsid w:val="00902DC4"/>
    <w:rsid w:val="00905819"/>
    <w:rsid w:val="00911864"/>
    <w:rsid w:val="00931659"/>
    <w:rsid w:val="0094157F"/>
    <w:rsid w:val="00945205"/>
    <w:rsid w:val="009625F2"/>
    <w:rsid w:val="00970ECA"/>
    <w:rsid w:val="00996093"/>
    <w:rsid w:val="009A0092"/>
    <w:rsid w:val="009B3129"/>
    <w:rsid w:val="009D0BDB"/>
    <w:rsid w:val="009D378C"/>
    <w:rsid w:val="009F7DA2"/>
    <w:rsid w:val="00A0191C"/>
    <w:rsid w:val="00A0519A"/>
    <w:rsid w:val="00A206D2"/>
    <w:rsid w:val="00A36324"/>
    <w:rsid w:val="00A414EE"/>
    <w:rsid w:val="00A463B4"/>
    <w:rsid w:val="00A5060C"/>
    <w:rsid w:val="00A51562"/>
    <w:rsid w:val="00A522D0"/>
    <w:rsid w:val="00A62A8C"/>
    <w:rsid w:val="00A636EE"/>
    <w:rsid w:val="00A76B40"/>
    <w:rsid w:val="00A851C9"/>
    <w:rsid w:val="00AA6646"/>
    <w:rsid w:val="00AB1084"/>
    <w:rsid w:val="00AB18DF"/>
    <w:rsid w:val="00AC533C"/>
    <w:rsid w:val="00AC63C7"/>
    <w:rsid w:val="00AE447D"/>
    <w:rsid w:val="00AE6FA1"/>
    <w:rsid w:val="00B12A0B"/>
    <w:rsid w:val="00B4575A"/>
    <w:rsid w:val="00B468A7"/>
    <w:rsid w:val="00B57EF1"/>
    <w:rsid w:val="00B62E3B"/>
    <w:rsid w:val="00B66589"/>
    <w:rsid w:val="00B713B0"/>
    <w:rsid w:val="00B74A82"/>
    <w:rsid w:val="00B95378"/>
    <w:rsid w:val="00BA5F6C"/>
    <w:rsid w:val="00BC44F5"/>
    <w:rsid w:val="00BC6D53"/>
    <w:rsid w:val="00BC79C3"/>
    <w:rsid w:val="00BE5F00"/>
    <w:rsid w:val="00C03D4E"/>
    <w:rsid w:val="00C03E71"/>
    <w:rsid w:val="00C16B24"/>
    <w:rsid w:val="00C26F90"/>
    <w:rsid w:val="00C36EF8"/>
    <w:rsid w:val="00C45C3C"/>
    <w:rsid w:val="00C82B33"/>
    <w:rsid w:val="00C9524B"/>
    <w:rsid w:val="00CA03E8"/>
    <w:rsid w:val="00CC4679"/>
    <w:rsid w:val="00CD2F8D"/>
    <w:rsid w:val="00CF0AB3"/>
    <w:rsid w:val="00D060B1"/>
    <w:rsid w:val="00D26A52"/>
    <w:rsid w:val="00D45A52"/>
    <w:rsid w:val="00D54752"/>
    <w:rsid w:val="00D60030"/>
    <w:rsid w:val="00D603E6"/>
    <w:rsid w:val="00D619C8"/>
    <w:rsid w:val="00D62542"/>
    <w:rsid w:val="00D71D44"/>
    <w:rsid w:val="00DC0C21"/>
    <w:rsid w:val="00DF7640"/>
    <w:rsid w:val="00E17F0A"/>
    <w:rsid w:val="00E21D61"/>
    <w:rsid w:val="00E24F5F"/>
    <w:rsid w:val="00E34DF9"/>
    <w:rsid w:val="00E47AE6"/>
    <w:rsid w:val="00E654D7"/>
    <w:rsid w:val="00E65C3F"/>
    <w:rsid w:val="00EA3A92"/>
    <w:rsid w:val="00EB0680"/>
    <w:rsid w:val="00EB3401"/>
    <w:rsid w:val="00EC391C"/>
    <w:rsid w:val="00EE4B38"/>
    <w:rsid w:val="00EE7C08"/>
    <w:rsid w:val="00EF32C2"/>
    <w:rsid w:val="00EF581A"/>
    <w:rsid w:val="00F1004E"/>
    <w:rsid w:val="00F35C42"/>
    <w:rsid w:val="00F417FF"/>
    <w:rsid w:val="00F41CE4"/>
    <w:rsid w:val="00F45E60"/>
    <w:rsid w:val="00F52F09"/>
    <w:rsid w:val="00F665DA"/>
    <w:rsid w:val="00F82551"/>
    <w:rsid w:val="00F830B9"/>
    <w:rsid w:val="00F957B3"/>
    <w:rsid w:val="00F96CA3"/>
    <w:rsid w:val="00FA29DF"/>
    <w:rsid w:val="00FB3FFE"/>
    <w:rsid w:val="00FCA8BB"/>
    <w:rsid w:val="00FD4894"/>
    <w:rsid w:val="02A64BF5"/>
    <w:rsid w:val="05077EAF"/>
    <w:rsid w:val="05779E56"/>
    <w:rsid w:val="05A77011"/>
    <w:rsid w:val="06872853"/>
    <w:rsid w:val="06EC1B5E"/>
    <w:rsid w:val="071F733E"/>
    <w:rsid w:val="075ACF62"/>
    <w:rsid w:val="07880830"/>
    <w:rsid w:val="0A3A4B77"/>
    <w:rsid w:val="0ACC3A89"/>
    <w:rsid w:val="0B7C1147"/>
    <w:rsid w:val="0C1EE7A5"/>
    <w:rsid w:val="0CC6860D"/>
    <w:rsid w:val="0CDA788A"/>
    <w:rsid w:val="0CDF6A3B"/>
    <w:rsid w:val="0EAC4C67"/>
    <w:rsid w:val="0F3C3CC3"/>
    <w:rsid w:val="13201333"/>
    <w:rsid w:val="13DACC19"/>
    <w:rsid w:val="14003BE3"/>
    <w:rsid w:val="14A4D6DE"/>
    <w:rsid w:val="158382E6"/>
    <w:rsid w:val="15CF906E"/>
    <w:rsid w:val="1645AE7D"/>
    <w:rsid w:val="16647255"/>
    <w:rsid w:val="166FC9D7"/>
    <w:rsid w:val="16BBD0FC"/>
    <w:rsid w:val="16E798B5"/>
    <w:rsid w:val="16F21795"/>
    <w:rsid w:val="1712A0E9"/>
    <w:rsid w:val="180AB909"/>
    <w:rsid w:val="1A314EB7"/>
    <w:rsid w:val="1A756B30"/>
    <w:rsid w:val="1C41DEC2"/>
    <w:rsid w:val="1EB105B7"/>
    <w:rsid w:val="1F4AC3D8"/>
    <w:rsid w:val="20CB5573"/>
    <w:rsid w:val="20E3FE4A"/>
    <w:rsid w:val="22168433"/>
    <w:rsid w:val="227C0B65"/>
    <w:rsid w:val="229AC862"/>
    <w:rsid w:val="2300D367"/>
    <w:rsid w:val="2456A4A1"/>
    <w:rsid w:val="24ECECE2"/>
    <w:rsid w:val="2635DBB8"/>
    <w:rsid w:val="2675084A"/>
    <w:rsid w:val="26867357"/>
    <w:rsid w:val="2688AEE0"/>
    <w:rsid w:val="276E0ABB"/>
    <w:rsid w:val="28FF3C77"/>
    <w:rsid w:val="2A706B93"/>
    <w:rsid w:val="2C02287B"/>
    <w:rsid w:val="2CE32A20"/>
    <w:rsid w:val="3009EED9"/>
    <w:rsid w:val="30B50997"/>
    <w:rsid w:val="316FA219"/>
    <w:rsid w:val="31C9E10D"/>
    <w:rsid w:val="3205C5BB"/>
    <w:rsid w:val="32A7588F"/>
    <w:rsid w:val="330941E7"/>
    <w:rsid w:val="338C76D1"/>
    <w:rsid w:val="33EE0955"/>
    <w:rsid w:val="34DA057A"/>
    <w:rsid w:val="357B9628"/>
    <w:rsid w:val="36EF53A8"/>
    <w:rsid w:val="3766F142"/>
    <w:rsid w:val="37B4F7D6"/>
    <w:rsid w:val="3A219C41"/>
    <w:rsid w:val="3B1A05D4"/>
    <w:rsid w:val="3BDEED52"/>
    <w:rsid w:val="3C844804"/>
    <w:rsid w:val="3D14ADDA"/>
    <w:rsid w:val="3D7FD6C5"/>
    <w:rsid w:val="3E543D0D"/>
    <w:rsid w:val="3F36AFBE"/>
    <w:rsid w:val="3FADDDD9"/>
    <w:rsid w:val="3FE08AB9"/>
    <w:rsid w:val="4032E5AA"/>
    <w:rsid w:val="406C1EC5"/>
    <w:rsid w:val="436E9689"/>
    <w:rsid w:val="43FB5A4F"/>
    <w:rsid w:val="46BFF9D2"/>
    <w:rsid w:val="49218E9E"/>
    <w:rsid w:val="4A5013D3"/>
    <w:rsid w:val="4AA7617F"/>
    <w:rsid w:val="4AE35AF7"/>
    <w:rsid w:val="4B42E21C"/>
    <w:rsid w:val="4BB24557"/>
    <w:rsid w:val="4BDFAFA4"/>
    <w:rsid w:val="4D1C7BCB"/>
    <w:rsid w:val="4E5F675B"/>
    <w:rsid w:val="4ED01209"/>
    <w:rsid w:val="4F9C76DA"/>
    <w:rsid w:val="4FC9B97E"/>
    <w:rsid w:val="506C9F12"/>
    <w:rsid w:val="50BBABD3"/>
    <w:rsid w:val="51FE2469"/>
    <w:rsid w:val="5234524C"/>
    <w:rsid w:val="5343F5F6"/>
    <w:rsid w:val="542E341F"/>
    <w:rsid w:val="57A29131"/>
    <w:rsid w:val="5807C5F8"/>
    <w:rsid w:val="58144253"/>
    <w:rsid w:val="58526FE5"/>
    <w:rsid w:val="58F86DF2"/>
    <w:rsid w:val="5910D6C7"/>
    <w:rsid w:val="5C538464"/>
    <w:rsid w:val="5EAA6BAB"/>
    <w:rsid w:val="5FEE976E"/>
    <w:rsid w:val="603749B4"/>
    <w:rsid w:val="60BE36B1"/>
    <w:rsid w:val="62D981A6"/>
    <w:rsid w:val="6322C765"/>
    <w:rsid w:val="63FC5B5B"/>
    <w:rsid w:val="6670C52C"/>
    <w:rsid w:val="675F73F4"/>
    <w:rsid w:val="6786ED35"/>
    <w:rsid w:val="695869A2"/>
    <w:rsid w:val="6A551867"/>
    <w:rsid w:val="6B4B46ED"/>
    <w:rsid w:val="6C295399"/>
    <w:rsid w:val="6D3DAB2C"/>
    <w:rsid w:val="6E16E7C1"/>
    <w:rsid w:val="6E3B036F"/>
    <w:rsid w:val="6ED0118E"/>
    <w:rsid w:val="6FCBB43E"/>
    <w:rsid w:val="714FF05A"/>
    <w:rsid w:val="7170B8C0"/>
    <w:rsid w:val="71B649F1"/>
    <w:rsid w:val="71E6D6F6"/>
    <w:rsid w:val="7278054A"/>
    <w:rsid w:val="72C11995"/>
    <w:rsid w:val="73DDC2E5"/>
    <w:rsid w:val="74097A9D"/>
    <w:rsid w:val="75AA9C70"/>
    <w:rsid w:val="7889C914"/>
    <w:rsid w:val="79AA70BA"/>
    <w:rsid w:val="7AA594E8"/>
    <w:rsid w:val="7CDA42AA"/>
    <w:rsid w:val="7DF236C2"/>
    <w:rsid w:val="7E133586"/>
    <w:rsid w:val="7E8520C1"/>
    <w:rsid w:val="7F1F0987"/>
    <w:rsid w:val="7F531847"/>
    <w:rsid w:val="7F8BA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A953"/>
  <w15:chartTrackingRefBased/>
  <w15:docId w15:val="{97017792-EF47-43E3-813C-BF963129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40C"/>
  </w:style>
  <w:style w:type="paragraph" w:styleId="Heading1">
    <w:name w:val="heading 1"/>
    <w:basedOn w:val="Normal"/>
    <w:next w:val="Normal"/>
    <w:link w:val="Heading1Char"/>
    <w:uiPriority w:val="9"/>
    <w:qFormat/>
    <w:rsid w:val="00782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40C"/>
    <w:rPr>
      <w:rFonts w:eastAsiaTheme="majorEastAsia" w:cstheme="majorBidi"/>
      <w:color w:val="272727" w:themeColor="text1" w:themeTint="D8"/>
    </w:rPr>
  </w:style>
  <w:style w:type="paragraph" w:styleId="Title">
    <w:name w:val="Title"/>
    <w:basedOn w:val="Normal"/>
    <w:next w:val="Normal"/>
    <w:link w:val="TitleChar"/>
    <w:uiPriority w:val="10"/>
    <w:qFormat/>
    <w:rsid w:val="00782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40C"/>
    <w:pPr>
      <w:spacing w:before="160"/>
      <w:jc w:val="center"/>
    </w:pPr>
    <w:rPr>
      <w:i/>
      <w:iCs/>
      <w:color w:val="404040" w:themeColor="text1" w:themeTint="BF"/>
    </w:rPr>
  </w:style>
  <w:style w:type="character" w:customStyle="1" w:styleId="QuoteChar">
    <w:name w:val="Quote Char"/>
    <w:basedOn w:val="DefaultParagraphFont"/>
    <w:link w:val="Quote"/>
    <w:uiPriority w:val="29"/>
    <w:rsid w:val="0078240C"/>
    <w:rPr>
      <w:i/>
      <w:iCs/>
      <w:color w:val="404040" w:themeColor="text1" w:themeTint="BF"/>
    </w:rPr>
  </w:style>
  <w:style w:type="paragraph" w:styleId="ListParagraph">
    <w:name w:val="List Paragraph"/>
    <w:basedOn w:val="Normal"/>
    <w:uiPriority w:val="34"/>
    <w:qFormat/>
    <w:rsid w:val="0078240C"/>
    <w:pPr>
      <w:ind w:left="720"/>
      <w:contextualSpacing/>
    </w:pPr>
  </w:style>
  <w:style w:type="character" w:styleId="IntenseEmphasis">
    <w:name w:val="Intense Emphasis"/>
    <w:basedOn w:val="DefaultParagraphFont"/>
    <w:uiPriority w:val="21"/>
    <w:qFormat/>
    <w:rsid w:val="0078240C"/>
    <w:rPr>
      <w:i/>
      <w:iCs/>
      <w:color w:val="0F4761" w:themeColor="accent1" w:themeShade="BF"/>
    </w:rPr>
  </w:style>
  <w:style w:type="paragraph" w:styleId="IntenseQuote">
    <w:name w:val="Intense Quote"/>
    <w:basedOn w:val="Normal"/>
    <w:next w:val="Normal"/>
    <w:link w:val="IntenseQuoteChar"/>
    <w:uiPriority w:val="30"/>
    <w:qFormat/>
    <w:rsid w:val="00782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40C"/>
    <w:rPr>
      <w:i/>
      <w:iCs/>
      <w:color w:val="0F4761" w:themeColor="accent1" w:themeShade="BF"/>
    </w:rPr>
  </w:style>
  <w:style w:type="character" w:styleId="IntenseReference">
    <w:name w:val="Intense Reference"/>
    <w:basedOn w:val="DefaultParagraphFont"/>
    <w:uiPriority w:val="32"/>
    <w:qFormat/>
    <w:rsid w:val="0078240C"/>
    <w:rPr>
      <w:b/>
      <w:bCs/>
      <w:smallCaps/>
      <w:color w:val="0F4761" w:themeColor="accent1" w:themeShade="BF"/>
      <w:spacing w:val="5"/>
    </w:rPr>
  </w:style>
  <w:style w:type="character" w:styleId="Hyperlink">
    <w:name w:val="Hyperlink"/>
    <w:basedOn w:val="DefaultParagraphFont"/>
    <w:uiPriority w:val="99"/>
    <w:unhideWhenUsed/>
    <w:rsid w:val="00F8255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pws.carbonmethod@environment.nsw.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1937</Words>
  <Characters>11041</Characters>
  <Application>Microsoft Office Word</Application>
  <DocSecurity>0</DocSecurity>
  <Lines>92</Lines>
  <Paragraphs>25</Paragraphs>
  <ScaleCrop>false</ScaleCrop>
  <Company/>
  <LinksUpToDate>false</LinksUpToDate>
  <CharactersWithSpaces>12953</CharactersWithSpaces>
  <SharedDoc>false</SharedDoc>
  <HLinks>
    <vt:vector size="6" baseType="variant">
      <vt:variant>
        <vt:i4>2490456</vt:i4>
      </vt:variant>
      <vt:variant>
        <vt:i4>0</vt:i4>
      </vt:variant>
      <vt:variant>
        <vt:i4>0</vt:i4>
      </vt:variant>
      <vt:variant>
        <vt:i4>5</vt:i4>
      </vt:variant>
      <vt:variant>
        <vt:lpwstr>mailto:npws.carbonmethod@environment.nsw.gov.au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Ryan</dc:creator>
  <cp:keywords/>
  <dc:description/>
  <cp:lastModifiedBy>Steve Ryan</cp:lastModifiedBy>
  <cp:revision>2</cp:revision>
  <dcterms:created xsi:type="dcterms:W3CDTF">2025-07-02T01:23:00Z</dcterms:created>
  <dcterms:modified xsi:type="dcterms:W3CDTF">2025-07-02T01:23:00Z</dcterms:modified>
</cp:coreProperties>
</file>