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D2C" w14:textId="77777777" w:rsidR="00D54777" w:rsidRDefault="00D54777" w:rsidP="00D54777">
      <w:pPr>
        <w:jc w:val="center"/>
        <w:rPr>
          <w:rStyle w:val="fontstyle01"/>
          <w:rFonts w:ascii="Arial" w:hAnsi="Arial" w:cs="Arial"/>
        </w:rPr>
      </w:pPr>
      <w:r w:rsidRPr="00D54777">
        <w:rPr>
          <w:rStyle w:val="fontstyle01"/>
          <w:rFonts w:ascii="Arial" w:hAnsi="Arial" w:cs="Arial"/>
        </w:rPr>
        <w:t>INVESTMENT POLICY AND PRACTIC</w:t>
      </w:r>
      <w:r>
        <w:rPr>
          <w:rStyle w:val="fontstyle01"/>
          <w:rFonts w:ascii="Arial" w:hAnsi="Arial" w:cs="Arial"/>
        </w:rPr>
        <w:t>ES</w:t>
      </w:r>
    </w:p>
    <w:p w14:paraId="411FCADD" w14:textId="77777777" w:rsidR="00D83678" w:rsidRDefault="00D54777">
      <w:pPr>
        <w:rPr>
          <w:rStyle w:val="fontstyle21"/>
          <w:rFonts w:ascii="Arial" w:hAnsi="Arial" w:cs="Arial"/>
        </w:rPr>
      </w:pPr>
      <w:r w:rsidRPr="00D54777">
        <w:rPr>
          <w:rFonts w:ascii="Arial" w:hAnsi="Arial" w:cs="Arial"/>
          <w:b/>
          <w:bCs/>
          <w:color w:val="000000"/>
        </w:rPr>
        <w:br/>
      </w:r>
    </w:p>
    <w:p w14:paraId="2E635793" w14:textId="03BF07EE" w:rsidR="00D54777" w:rsidRPr="00DD12E1" w:rsidRDefault="00D54777">
      <w:pPr>
        <w:rPr>
          <w:rStyle w:val="fontstyle21"/>
          <w:rFonts w:ascii="Arial" w:hAnsi="Arial" w:cs="Arial"/>
        </w:rPr>
      </w:pPr>
      <w:r w:rsidRPr="00DD12E1">
        <w:rPr>
          <w:rStyle w:val="fontstyle21"/>
          <w:rFonts w:ascii="Arial" w:hAnsi="Arial" w:cs="Arial"/>
        </w:rPr>
        <w:t xml:space="preserve">As Approved by the Board of Directors on </w:t>
      </w:r>
      <w:r w:rsidR="00CC2BA4">
        <w:rPr>
          <w:rStyle w:val="fontstyle21"/>
          <w:rFonts w:ascii="Arial" w:hAnsi="Arial" w:cs="Arial"/>
        </w:rPr>
        <w:t>February 15, 2023</w:t>
      </w:r>
      <w:r w:rsidRPr="00DD12E1">
        <w:rPr>
          <w:rStyle w:val="fontstyle21"/>
          <w:rFonts w:ascii="Arial" w:hAnsi="Arial" w:cs="Arial"/>
        </w:rPr>
        <w:t>.</w:t>
      </w:r>
      <w:r w:rsidRPr="00DD12E1">
        <w:rPr>
          <w:rFonts w:ascii="Arial" w:hAnsi="Arial" w:cs="Arial"/>
          <w:color w:val="000000"/>
        </w:rPr>
        <w:br/>
      </w:r>
    </w:p>
    <w:p w14:paraId="4541DB50" w14:textId="0BD4677D" w:rsidR="00D54777" w:rsidRPr="00DD12E1" w:rsidRDefault="00D54777" w:rsidP="00D54777">
      <w:pPr>
        <w:pStyle w:val="ListParagraph"/>
        <w:numPr>
          <w:ilvl w:val="0"/>
          <w:numId w:val="1"/>
        </w:numPr>
        <w:rPr>
          <w:rStyle w:val="fontstyle21"/>
          <w:rFonts w:ascii="Arial" w:hAnsi="Arial" w:cs="Arial"/>
        </w:rPr>
      </w:pPr>
      <w:r w:rsidRPr="00DD12E1">
        <w:rPr>
          <w:rStyle w:val="fontstyle21"/>
          <w:rFonts w:ascii="Arial" w:hAnsi="Arial" w:cs="Arial"/>
        </w:rPr>
        <w:t>Investment Policy</w:t>
      </w:r>
      <w:r w:rsidRPr="00DD12E1">
        <w:rPr>
          <w:rFonts w:ascii="Arial" w:hAnsi="Arial" w:cs="Arial"/>
          <w:color w:val="000000"/>
        </w:rPr>
        <w:br/>
      </w:r>
      <w:r w:rsidRPr="00DD12E1">
        <w:rPr>
          <w:rStyle w:val="fontstyle21"/>
          <w:rFonts w:ascii="Arial" w:hAnsi="Arial" w:cs="Arial"/>
        </w:rPr>
        <w:t xml:space="preserve">The primary management objective is to preserve the real (i.e., inflation adjusted) purchasing power of all fully utilized </w:t>
      </w:r>
      <w:proofErr w:type="gramStart"/>
      <w:r w:rsidRPr="00DD12E1">
        <w:rPr>
          <w:rStyle w:val="fontstyle21"/>
          <w:rFonts w:ascii="Arial" w:hAnsi="Arial" w:cs="Arial"/>
        </w:rPr>
        <w:t>short and long term</w:t>
      </w:r>
      <w:proofErr w:type="gramEnd"/>
      <w:r w:rsidRPr="00DD12E1">
        <w:rPr>
          <w:rStyle w:val="fontstyle21"/>
          <w:rFonts w:ascii="Arial" w:hAnsi="Arial" w:cs="Arial"/>
        </w:rPr>
        <w:t xml:space="preserve"> funds, while producing a stable, real income stream for support of the Neuro Hospitality House (NHH) programs. This will allow a growing stream of revenue for internal operating expenses, ideally keeping pace or exceeding inflation; and supply additional revenue</w:t>
      </w:r>
      <w:r w:rsidR="00DD12E1" w:rsidRPr="00DD12E1">
        <w:rPr>
          <w:rStyle w:val="fontstyle21"/>
          <w:rFonts w:ascii="Arial" w:hAnsi="Arial" w:cs="Arial"/>
        </w:rPr>
        <w:t xml:space="preserve"> </w:t>
      </w:r>
      <w:r w:rsidRPr="00DD12E1">
        <w:rPr>
          <w:rStyle w:val="fontstyle21"/>
          <w:rFonts w:ascii="Arial" w:hAnsi="Arial" w:cs="Arial"/>
        </w:rPr>
        <w:t>for NHH.</w:t>
      </w:r>
      <w:r w:rsidRPr="00DD12E1">
        <w:rPr>
          <w:rFonts w:ascii="Arial" w:hAnsi="Arial" w:cs="Arial"/>
          <w:color w:val="000000"/>
        </w:rPr>
        <w:br/>
      </w:r>
    </w:p>
    <w:p w14:paraId="2D326052" w14:textId="00A5FE3D" w:rsidR="00DD12E1" w:rsidRPr="00DD12E1" w:rsidRDefault="00D54777" w:rsidP="00DD12E1">
      <w:pPr>
        <w:pStyle w:val="ListParagraph"/>
        <w:numPr>
          <w:ilvl w:val="0"/>
          <w:numId w:val="1"/>
        </w:numPr>
        <w:rPr>
          <w:rStyle w:val="fontstyle21"/>
          <w:rFonts w:ascii="Arial" w:hAnsi="Arial" w:cs="Arial"/>
        </w:rPr>
      </w:pPr>
      <w:r w:rsidRPr="00DD12E1">
        <w:rPr>
          <w:rStyle w:val="fontstyle21"/>
          <w:rFonts w:ascii="Arial" w:hAnsi="Arial" w:cs="Arial"/>
        </w:rPr>
        <w:t>Definitions / Scope</w:t>
      </w:r>
    </w:p>
    <w:p w14:paraId="36A94B29" w14:textId="77777777" w:rsidR="00DD12E1" w:rsidRPr="00DD12E1" w:rsidRDefault="00D54777" w:rsidP="00DD12E1">
      <w:pPr>
        <w:pStyle w:val="ListParagraph"/>
        <w:ind w:left="1080"/>
        <w:rPr>
          <w:rStyle w:val="fontstyle21"/>
          <w:rFonts w:ascii="Arial" w:hAnsi="Arial" w:cs="Arial"/>
        </w:rPr>
      </w:pPr>
      <w:r w:rsidRPr="00DD12E1">
        <w:rPr>
          <w:rStyle w:val="fontstyle21"/>
          <w:rFonts w:ascii="Arial" w:hAnsi="Arial" w:cs="Arial"/>
        </w:rPr>
        <w:t xml:space="preserve">This investment policy applies to all financial assets held by the </w:t>
      </w:r>
      <w:r w:rsidR="00DD12E1" w:rsidRPr="00DD12E1">
        <w:rPr>
          <w:rStyle w:val="fontstyle21"/>
          <w:rFonts w:ascii="Arial" w:hAnsi="Arial" w:cs="Arial"/>
        </w:rPr>
        <w:t>NHH</w:t>
      </w:r>
      <w:r w:rsidRPr="00DD12E1">
        <w:rPr>
          <w:rStyle w:val="fontstyle21"/>
          <w:rFonts w:ascii="Arial" w:hAnsi="Arial" w:cs="Arial"/>
        </w:rPr>
        <w:t>. These</w:t>
      </w:r>
      <w:r w:rsidR="00DD12E1" w:rsidRPr="00DD12E1">
        <w:rPr>
          <w:rStyle w:val="fontstyle21"/>
          <w:rFonts w:ascii="Arial" w:hAnsi="Arial" w:cs="Arial"/>
        </w:rPr>
        <w:t xml:space="preserve"> </w:t>
      </w:r>
      <w:r w:rsidRPr="00DD12E1">
        <w:rPr>
          <w:rStyle w:val="fontstyle21"/>
          <w:rFonts w:ascii="Arial" w:hAnsi="Arial" w:cs="Arial"/>
        </w:rPr>
        <w:t xml:space="preserve">assets are accounted for in the </w:t>
      </w:r>
      <w:r w:rsidR="00DD12E1" w:rsidRPr="00DD12E1">
        <w:rPr>
          <w:rStyle w:val="fontstyle21"/>
          <w:rFonts w:ascii="Arial" w:hAnsi="Arial" w:cs="Arial"/>
        </w:rPr>
        <w:t>NHH</w:t>
      </w:r>
      <w:r w:rsidRPr="00DD12E1">
        <w:rPr>
          <w:rStyle w:val="fontstyle21"/>
          <w:rFonts w:ascii="Arial" w:hAnsi="Arial" w:cs="Arial"/>
        </w:rPr>
        <w:t xml:space="preserve"> annual financial report and include any</w:t>
      </w:r>
      <w:r w:rsidR="00DD12E1" w:rsidRPr="00DD12E1">
        <w:rPr>
          <w:rStyle w:val="fontstyle21"/>
          <w:rFonts w:ascii="Arial" w:hAnsi="Arial" w:cs="Arial"/>
        </w:rPr>
        <w:t xml:space="preserve"> </w:t>
      </w:r>
      <w:r w:rsidRPr="00DD12E1">
        <w:rPr>
          <w:rStyle w:val="fontstyle21"/>
          <w:rFonts w:ascii="Arial" w:hAnsi="Arial" w:cs="Arial"/>
        </w:rPr>
        <w:t xml:space="preserve">of the following funds as well as any new fund created in the future by the </w:t>
      </w:r>
      <w:r w:rsidR="00DD12E1" w:rsidRPr="00DD12E1">
        <w:rPr>
          <w:rStyle w:val="fontstyle21"/>
          <w:rFonts w:ascii="Arial" w:hAnsi="Arial" w:cs="Arial"/>
        </w:rPr>
        <w:t>NHH</w:t>
      </w:r>
      <w:r w:rsidRPr="00DD12E1">
        <w:rPr>
          <w:rStyle w:val="fontstyle21"/>
          <w:rFonts w:ascii="Arial" w:hAnsi="Arial" w:cs="Arial"/>
        </w:rPr>
        <w:t>:</w:t>
      </w:r>
    </w:p>
    <w:p w14:paraId="00A44EB0" w14:textId="5268FDF1" w:rsidR="00D83678" w:rsidRDefault="00D54777" w:rsidP="00D83678">
      <w:pPr>
        <w:pStyle w:val="ListParagraph"/>
        <w:spacing w:after="0"/>
        <w:ind w:left="1080"/>
        <w:rPr>
          <w:rStyle w:val="fontstyle31"/>
          <w:rFonts w:ascii="Arial" w:hAnsi="Arial" w:cs="Arial"/>
        </w:rPr>
      </w:pPr>
      <w:r w:rsidRPr="00DD12E1">
        <w:rPr>
          <w:rFonts w:ascii="Arial" w:hAnsi="Arial" w:cs="Arial"/>
          <w:color w:val="000000"/>
        </w:rPr>
        <w:br/>
      </w:r>
      <w:r w:rsidRPr="00DD12E1">
        <w:rPr>
          <w:rStyle w:val="fontstyle21"/>
          <w:rFonts w:ascii="Arial" w:hAnsi="Arial" w:cs="Arial"/>
        </w:rPr>
        <w:t xml:space="preserve">A. </w:t>
      </w:r>
      <w:r w:rsidR="00D83678">
        <w:rPr>
          <w:rStyle w:val="fontstyle21"/>
          <w:rFonts w:ascii="Arial" w:hAnsi="Arial" w:cs="Arial"/>
        </w:rPr>
        <w:t xml:space="preserve"> </w:t>
      </w:r>
      <w:r w:rsidRPr="00DD12E1">
        <w:rPr>
          <w:rStyle w:val="fontstyle31"/>
          <w:rFonts w:ascii="Arial" w:hAnsi="Arial" w:cs="Arial"/>
        </w:rPr>
        <w:t>Unrestricted Fund</w:t>
      </w:r>
    </w:p>
    <w:p w14:paraId="7A152AB8" w14:textId="29F477C9" w:rsidR="00DD12E1" w:rsidRPr="00DD12E1" w:rsidRDefault="00D54777" w:rsidP="00D83678">
      <w:pPr>
        <w:pStyle w:val="ListParagraph"/>
        <w:spacing w:after="0"/>
        <w:ind w:left="1440"/>
        <w:rPr>
          <w:rFonts w:ascii="Arial" w:hAnsi="Arial" w:cs="Arial"/>
          <w:i/>
          <w:iCs/>
          <w:color w:val="000000"/>
          <w:sz w:val="24"/>
          <w:szCs w:val="24"/>
        </w:rPr>
      </w:pPr>
      <w:r w:rsidRPr="00DD12E1">
        <w:rPr>
          <w:rFonts w:ascii="Arial" w:hAnsi="Arial" w:cs="Arial"/>
          <w:i/>
          <w:iCs/>
          <w:color w:val="000000"/>
        </w:rPr>
        <w:br/>
      </w:r>
      <w:r w:rsidR="00DD12E1" w:rsidRPr="00DD12E1">
        <w:rPr>
          <w:rFonts w:ascii="Arial" w:hAnsi="Arial" w:cs="Arial"/>
          <w:color w:val="000000"/>
          <w:sz w:val="24"/>
          <w:szCs w:val="24"/>
        </w:rPr>
        <w:t>The Unrestricted Fund is used for general operating purposes. It is funded</w:t>
      </w:r>
      <w:r w:rsidR="00DD12E1" w:rsidRPr="00DD12E1">
        <w:rPr>
          <w:rFonts w:ascii="Arial" w:hAnsi="Arial" w:cs="Arial"/>
          <w:color w:val="000000"/>
        </w:rPr>
        <w:br/>
      </w:r>
      <w:r w:rsidR="00DD12E1" w:rsidRPr="00DD12E1">
        <w:rPr>
          <w:rFonts w:ascii="Arial" w:hAnsi="Arial" w:cs="Arial"/>
          <w:color w:val="000000"/>
          <w:sz w:val="24"/>
          <w:szCs w:val="24"/>
        </w:rPr>
        <w:t>primarily by collections of NHH Pledges and is the fund out of which</w:t>
      </w:r>
      <w:r w:rsidR="00DD12E1" w:rsidRPr="00DD12E1">
        <w:rPr>
          <w:rFonts w:ascii="Arial" w:hAnsi="Arial" w:cs="Arial"/>
          <w:color w:val="000000"/>
        </w:rPr>
        <w:br/>
      </w:r>
      <w:r w:rsidR="00DD12E1" w:rsidRPr="00DD12E1">
        <w:rPr>
          <w:rFonts w:ascii="Arial" w:hAnsi="Arial" w:cs="Arial"/>
          <w:color w:val="000000"/>
          <w:sz w:val="24"/>
          <w:szCs w:val="24"/>
        </w:rPr>
        <w:t>allocations to nonprofit partners are made and most operating expenses are</w:t>
      </w:r>
      <w:r w:rsidR="00A84767">
        <w:rPr>
          <w:rFonts w:ascii="Arial" w:hAnsi="Arial" w:cs="Arial"/>
          <w:color w:val="000000"/>
        </w:rPr>
        <w:t xml:space="preserve"> </w:t>
      </w:r>
      <w:r w:rsidR="00A84767" w:rsidRPr="00A84767">
        <w:rPr>
          <w:rFonts w:ascii="Arial" w:hAnsi="Arial" w:cs="Arial"/>
          <w:color w:val="000000"/>
          <w:sz w:val="24"/>
          <w:szCs w:val="24"/>
        </w:rPr>
        <w:t>paid</w:t>
      </w:r>
      <w:r w:rsidR="00A84767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277BE0BD" w14:textId="77777777" w:rsidR="00DD12E1" w:rsidRPr="00DD12E1" w:rsidRDefault="00DD12E1" w:rsidP="00DD12E1">
      <w:pPr>
        <w:pStyle w:val="ListParagraph"/>
        <w:ind w:left="1080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78A01FB" w14:textId="20E2F6F2" w:rsidR="00D83678" w:rsidRDefault="00DD12E1" w:rsidP="00DD12E1">
      <w:pPr>
        <w:pStyle w:val="ListParagraph"/>
        <w:ind w:left="1080"/>
        <w:rPr>
          <w:rFonts w:ascii="Arial" w:hAnsi="Arial" w:cs="Arial"/>
          <w:i/>
          <w:iCs/>
          <w:color w:val="000000"/>
          <w:sz w:val="24"/>
          <w:szCs w:val="24"/>
        </w:rPr>
      </w:pPr>
      <w:r w:rsidRPr="00DD12E1">
        <w:rPr>
          <w:rFonts w:ascii="Arial" w:hAnsi="Arial" w:cs="Arial"/>
          <w:i/>
          <w:iCs/>
          <w:color w:val="000000"/>
          <w:sz w:val="24"/>
          <w:szCs w:val="24"/>
        </w:rPr>
        <w:t>B.</w:t>
      </w:r>
      <w:r w:rsidR="00D8367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D12E1">
        <w:rPr>
          <w:rFonts w:ascii="Arial" w:hAnsi="Arial" w:cs="Arial"/>
          <w:i/>
          <w:iCs/>
          <w:color w:val="000000"/>
          <w:sz w:val="24"/>
          <w:szCs w:val="24"/>
        </w:rPr>
        <w:t xml:space="preserve"> Operating Reserve Fund</w:t>
      </w:r>
    </w:p>
    <w:p w14:paraId="0502C36A" w14:textId="31885DFA" w:rsidR="00DD12E1" w:rsidRPr="00DD12E1" w:rsidRDefault="00DD12E1" w:rsidP="00D8367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r w:rsidRPr="00DD12E1">
        <w:rPr>
          <w:rFonts w:ascii="Arial" w:hAnsi="Arial" w:cs="Arial"/>
          <w:i/>
          <w:iCs/>
          <w:color w:val="000000"/>
        </w:rPr>
        <w:br/>
      </w:r>
      <w:r w:rsidRPr="00DD12E1">
        <w:rPr>
          <w:rFonts w:ascii="Arial" w:hAnsi="Arial" w:cs="Arial"/>
          <w:color w:val="000000"/>
          <w:sz w:val="24"/>
          <w:szCs w:val="24"/>
        </w:rPr>
        <w:t>The Operating Reserve Fund is a board-designated fund set in reserve to</w:t>
      </w:r>
      <w:r w:rsidRPr="00DD12E1">
        <w:rPr>
          <w:rFonts w:ascii="Arial" w:hAnsi="Arial" w:cs="Arial"/>
          <w:color w:val="000000"/>
        </w:rPr>
        <w:br/>
      </w:r>
      <w:r w:rsidRPr="00DD12E1">
        <w:rPr>
          <w:rFonts w:ascii="Arial" w:hAnsi="Arial" w:cs="Arial"/>
          <w:color w:val="000000"/>
          <w:sz w:val="24"/>
          <w:szCs w:val="24"/>
        </w:rPr>
        <w:t>provide continuity of program funding in the event of funding shortfalls or</w:t>
      </w:r>
      <w:r w:rsidRPr="00DD12E1">
        <w:rPr>
          <w:rFonts w:ascii="Arial" w:hAnsi="Arial" w:cs="Arial"/>
          <w:color w:val="000000"/>
        </w:rPr>
        <w:br/>
      </w:r>
      <w:r w:rsidRPr="00DD12E1">
        <w:rPr>
          <w:rFonts w:ascii="Arial" w:hAnsi="Arial" w:cs="Arial"/>
          <w:color w:val="000000"/>
          <w:sz w:val="24"/>
          <w:szCs w:val="24"/>
        </w:rPr>
        <w:t>unexpected expenses.</w:t>
      </w:r>
      <w:r w:rsidRPr="00DD12E1">
        <w:rPr>
          <w:rFonts w:ascii="Arial" w:hAnsi="Arial" w:cs="Arial"/>
          <w:color w:val="000000"/>
        </w:rPr>
        <w:br/>
      </w:r>
    </w:p>
    <w:p w14:paraId="5960C21D" w14:textId="08767314" w:rsidR="00D83678" w:rsidRDefault="00DD12E1" w:rsidP="00CC45C3">
      <w:pPr>
        <w:pStyle w:val="ListParagraph"/>
        <w:ind w:left="1080"/>
        <w:rPr>
          <w:rFonts w:ascii="Arial" w:hAnsi="Arial" w:cs="Arial"/>
          <w:i/>
          <w:iCs/>
          <w:color w:val="000000"/>
          <w:sz w:val="24"/>
          <w:szCs w:val="24"/>
        </w:rPr>
      </w:pPr>
      <w:r w:rsidRPr="00DD12E1">
        <w:rPr>
          <w:rFonts w:ascii="Arial" w:hAnsi="Arial" w:cs="Arial"/>
          <w:color w:val="000000"/>
          <w:sz w:val="24"/>
          <w:szCs w:val="24"/>
        </w:rPr>
        <w:t xml:space="preserve">C. </w:t>
      </w:r>
      <w:r w:rsidR="00D836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2E1">
        <w:rPr>
          <w:rFonts w:ascii="Arial" w:hAnsi="Arial" w:cs="Arial"/>
          <w:i/>
          <w:iCs/>
          <w:color w:val="000000"/>
          <w:sz w:val="24"/>
          <w:szCs w:val="24"/>
        </w:rPr>
        <w:t>Restricted Funds</w:t>
      </w:r>
    </w:p>
    <w:p w14:paraId="0C81F86B" w14:textId="647AE2EE" w:rsidR="00CC45C3" w:rsidRDefault="00DD12E1" w:rsidP="00D8367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r w:rsidRPr="00DD12E1">
        <w:rPr>
          <w:rFonts w:ascii="Arial" w:hAnsi="Arial" w:cs="Arial"/>
          <w:i/>
          <w:iCs/>
          <w:color w:val="000000"/>
        </w:rPr>
        <w:br/>
      </w:r>
      <w:r w:rsidRPr="00DD12E1">
        <w:rPr>
          <w:rFonts w:ascii="Arial" w:hAnsi="Arial" w:cs="Arial"/>
          <w:color w:val="000000"/>
          <w:sz w:val="24"/>
          <w:szCs w:val="24"/>
        </w:rPr>
        <w:t>Restricted Funds are set up and maintained to hold donations that can only be</w:t>
      </w:r>
      <w:r w:rsidR="00CC45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2E1">
        <w:rPr>
          <w:rFonts w:ascii="Arial" w:hAnsi="Arial" w:cs="Arial"/>
          <w:color w:val="000000"/>
          <w:sz w:val="24"/>
          <w:szCs w:val="24"/>
        </w:rPr>
        <w:t>spent for donor-specified purposes.</w:t>
      </w:r>
    </w:p>
    <w:p w14:paraId="072025CD" w14:textId="77777777" w:rsidR="00CC45C3" w:rsidRDefault="00CC45C3" w:rsidP="00CC45C3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5B7C6811" w14:textId="77777777" w:rsidR="00D83678" w:rsidRDefault="00DD12E1" w:rsidP="00CC45C3">
      <w:pPr>
        <w:pStyle w:val="ListParagraph"/>
        <w:ind w:left="1080"/>
        <w:rPr>
          <w:rFonts w:ascii="Arial" w:hAnsi="Arial" w:cs="Arial"/>
          <w:i/>
          <w:iCs/>
          <w:color w:val="000000"/>
          <w:sz w:val="24"/>
          <w:szCs w:val="24"/>
        </w:rPr>
      </w:pPr>
      <w:r w:rsidRPr="00CC45C3">
        <w:rPr>
          <w:rFonts w:ascii="Arial" w:hAnsi="Arial" w:cs="Arial"/>
          <w:color w:val="000000"/>
          <w:sz w:val="24"/>
          <w:szCs w:val="24"/>
        </w:rPr>
        <w:t xml:space="preserve">D. </w:t>
      </w:r>
      <w:r w:rsidRPr="00CC45C3">
        <w:rPr>
          <w:rFonts w:ascii="Arial" w:hAnsi="Arial" w:cs="Arial"/>
          <w:i/>
          <w:iCs/>
          <w:color w:val="000000"/>
          <w:sz w:val="24"/>
          <w:szCs w:val="24"/>
        </w:rPr>
        <w:t>Building and Grounds Fund</w:t>
      </w:r>
    </w:p>
    <w:p w14:paraId="72C1D30D" w14:textId="7003C3D3" w:rsidR="00CC45C3" w:rsidRDefault="00DD12E1" w:rsidP="00D8367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r w:rsidRPr="00CC45C3">
        <w:rPr>
          <w:rFonts w:ascii="Arial" w:hAnsi="Arial" w:cs="Arial"/>
          <w:i/>
          <w:iCs/>
          <w:color w:val="000000"/>
        </w:rPr>
        <w:br/>
      </w:r>
      <w:r w:rsidRPr="00CC45C3">
        <w:rPr>
          <w:rFonts w:ascii="Arial" w:hAnsi="Arial" w:cs="Arial"/>
          <w:color w:val="000000"/>
          <w:sz w:val="24"/>
          <w:szCs w:val="24"/>
        </w:rPr>
        <w:t>The Building and Grounds Fund is used to provide for building repairs and</w:t>
      </w:r>
      <w:r w:rsidRPr="00CC45C3">
        <w:rPr>
          <w:rFonts w:ascii="Arial" w:hAnsi="Arial" w:cs="Arial"/>
          <w:color w:val="000000"/>
        </w:rPr>
        <w:br/>
      </w:r>
      <w:r w:rsidRPr="00CC45C3">
        <w:rPr>
          <w:rFonts w:ascii="Arial" w:hAnsi="Arial" w:cs="Arial"/>
          <w:color w:val="000000"/>
          <w:sz w:val="24"/>
          <w:szCs w:val="24"/>
        </w:rPr>
        <w:t>improvement.</w:t>
      </w:r>
    </w:p>
    <w:p w14:paraId="4A794FFE" w14:textId="77777777" w:rsidR="00C65E1B" w:rsidRDefault="00C65E1B" w:rsidP="00CC45C3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2F0D787B" w14:textId="7BB65553" w:rsidR="00CC45C3" w:rsidRDefault="00CC45C3" w:rsidP="00CC45C3">
      <w:pPr>
        <w:pStyle w:val="ListParagraph"/>
        <w:ind w:left="108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E.</w:t>
      </w:r>
      <w:r w:rsidRPr="00CC45C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Investment Strategy Document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1CF45794" w14:textId="77777777" w:rsidR="00D83678" w:rsidRDefault="00D83678" w:rsidP="00CC45C3">
      <w:pPr>
        <w:pStyle w:val="ListParagraph"/>
        <w:ind w:left="108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D41AB08" w14:textId="3BCBC3C2" w:rsidR="00D2626E" w:rsidRPr="00AB391F" w:rsidRDefault="00984A3C" w:rsidP="003871D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 w:rsidRPr="00AB391F">
        <w:rPr>
          <w:rFonts w:ascii="Arial" w:eastAsia="Times New Roman" w:hAnsi="Arial" w:cs="Arial"/>
          <w:sz w:val="24"/>
          <w:szCs w:val="24"/>
        </w:rPr>
        <w:t>T</w:t>
      </w:r>
      <w:r w:rsidR="003871D5" w:rsidRPr="00AB391F">
        <w:rPr>
          <w:rFonts w:ascii="Arial" w:eastAsia="Times New Roman" w:hAnsi="Arial" w:cs="Arial"/>
          <w:sz w:val="24"/>
          <w:szCs w:val="24"/>
        </w:rPr>
        <w:t xml:space="preserve">he Board of Directors may </w:t>
      </w:r>
      <w:r w:rsidR="00D2626E" w:rsidRPr="00AB391F">
        <w:rPr>
          <w:rFonts w:ascii="Arial" w:eastAsia="Times New Roman" w:hAnsi="Arial" w:cs="Arial"/>
          <w:sz w:val="24"/>
          <w:szCs w:val="24"/>
        </w:rPr>
        <w:t xml:space="preserve">at its discretion </w:t>
      </w:r>
      <w:r w:rsidR="003871D5" w:rsidRPr="00AB391F">
        <w:rPr>
          <w:rFonts w:ascii="Arial" w:eastAsia="Times New Roman" w:hAnsi="Arial" w:cs="Arial"/>
          <w:sz w:val="24"/>
          <w:szCs w:val="24"/>
        </w:rPr>
        <w:t xml:space="preserve">request the Finance Committee </w:t>
      </w:r>
      <w:r w:rsidR="00D2626E" w:rsidRPr="00AB391F">
        <w:rPr>
          <w:rFonts w:ascii="Arial" w:eastAsia="Times New Roman" w:hAnsi="Arial" w:cs="Arial"/>
          <w:sz w:val="24"/>
          <w:szCs w:val="24"/>
        </w:rPr>
        <w:t xml:space="preserve">to </w:t>
      </w:r>
      <w:r w:rsidR="003871D5" w:rsidRPr="00AB391F">
        <w:rPr>
          <w:rFonts w:ascii="Arial" w:eastAsia="Times New Roman" w:hAnsi="Arial" w:cs="Arial"/>
          <w:sz w:val="24"/>
          <w:szCs w:val="24"/>
        </w:rPr>
        <w:t>create an</w:t>
      </w:r>
      <w:r w:rsidR="00CC45C3" w:rsidRPr="00AB391F">
        <w:rPr>
          <w:rFonts w:ascii="Arial" w:eastAsia="Times New Roman" w:hAnsi="Arial" w:cs="Arial"/>
          <w:sz w:val="24"/>
          <w:szCs w:val="24"/>
        </w:rPr>
        <w:t xml:space="preserve"> </w:t>
      </w:r>
      <w:r w:rsidR="003871D5" w:rsidRPr="00AB391F">
        <w:rPr>
          <w:rFonts w:ascii="Arial" w:eastAsia="Times New Roman" w:hAnsi="Arial" w:cs="Arial"/>
          <w:sz w:val="24"/>
          <w:szCs w:val="24"/>
        </w:rPr>
        <w:t>I</w:t>
      </w:r>
      <w:r w:rsidR="00CC45C3" w:rsidRPr="00AB391F">
        <w:rPr>
          <w:rFonts w:ascii="Arial" w:eastAsia="Times New Roman" w:hAnsi="Arial" w:cs="Arial"/>
          <w:sz w:val="24"/>
          <w:szCs w:val="24"/>
        </w:rPr>
        <w:t xml:space="preserve">nvestment </w:t>
      </w:r>
      <w:r w:rsidR="003871D5" w:rsidRPr="00AB391F">
        <w:rPr>
          <w:rFonts w:ascii="Arial" w:eastAsia="Times New Roman" w:hAnsi="Arial" w:cs="Arial"/>
          <w:sz w:val="24"/>
          <w:szCs w:val="24"/>
        </w:rPr>
        <w:t>S</w:t>
      </w:r>
      <w:r w:rsidR="00CC45C3" w:rsidRPr="00AB391F">
        <w:rPr>
          <w:rFonts w:ascii="Arial" w:eastAsia="Times New Roman" w:hAnsi="Arial" w:cs="Arial"/>
          <w:sz w:val="24"/>
          <w:szCs w:val="24"/>
        </w:rPr>
        <w:t xml:space="preserve">trategy </w:t>
      </w:r>
      <w:r w:rsidR="003871D5" w:rsidRPr="00AB391F">
        <w:rPr>
          <w:rFonts w:ascii="Arial" w:eastAsia="Times New Roman" w:hAnsi="Arial" w:cs="Arial"/>
          <w:sz w:val="24"/>
          <w:szCs w:val="24"/>
        </w:rPr>
        <w:t>D</w:t>
      </w:r>
      <w:r w:rsidR="00CC45C3" w:rsidRPr="00AB391F">
        <w:rPr>
          <w:rFonts w:ascii="Arial" w:eastAsia="Times New Roman" w:hAnsi="Arial" w:cs="Arial"/>
          <w:sz w:val="24"/>
          <w:szCs w:val="24"/>
        </w:rPr>
        <w:t>ocument</w:t>
      </w:r>
      <w:r w:rsidR="003871D5" w:rsidRPr="00AB391F">
        <w:rPr>
          <w:rFonts w:ascii="Arial" w:eastAsia="Times New Roman" w:hAnsi="Arial" w:cs="Arial"/>
          <w:sz w:val="24"/>
          <w:szCs w:val="24"/>
        </w:rPr>
        <w:t xml:space="preserve">.  </w:t>
      </w:r>
      <w:r w:rsidR="00D2626E" w:rsidRPr="00AB391F">
        <w:rPr>
          <w:rFonts w:ascii="Arial" w:eastAsia="Times New Roman" w:hAnsi="Arial" w:cs="Arial"/>
          <w:sz w:val="24"/>
          <w:szCs w:val="24"/>
        </w:rPr>
        <w:t xml:space="preserve">The Board of Directors will approve the document, which will be </w:t>
      </w:r>
      <w:r w:rsidR="00CC45C3" w:rsidRPr="00AB391F">
        <w:rPr>
          <w:rFonts w:ascii="Arial" w:eastAsia="Times New Roman" w:hAnsi="Arial" w:cs="Arial"/>
          <w:sz w:val="24"/>
          <w:szCs w:val="24"/>
        </w:rPr>
        <w:t xml:space="preserve">the guidance for investing funds. </w:t>
      </w:r>
    </w:p>
    <w:p w14:paraId="3ED87493" w14:textId="77777777" w:rsidR="00D2626E" w:rsidRPr="00AB391F" w:rsidRDefault="00D2626E" w:rsidP="003871D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2757EAD" w14:textId="6B4B3260" w:rsidR="00C65E1B" w:rsidRPr="003871D5" w:rsidRDefault="00CC45C3" w:rsidP="003871D5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B391F">
        <w:rPr>
          <w:rFonts w:ascii="Arial" w:eastAsia="Times New Roman" w:hAnsi="Arial" w:cs="Arial"/>
          <w:sz w:val="24"/>
          <w:szCs w:val="24"/>
        </w:rPr>
        <w:t>The document will contain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t>: risk assessment survey, approved institutions, type of account, and allocation of funds.</w:t>
      </w:r>
      <w:r w:rsidR="00C65E1B" w:rsidRPr="003871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t>Except for cash in certain restricted and special accounts, the President or President’s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br/>
        <w:t xml:space="preserve">delegate, through the oversight of the </w:t>
      </w:r>
      <w:r w:rsidR="00C65E1B" w:rsidRPr="003871D5">
        <w:rPr>
          <w:rFonts w:ascii="Arial" w:eastAsia="Times New Roman" w:hAnsi="Arial" w:cs="Arial"/>
          <w:color w:val="000000"/>
          <w:sz w:val="24"/>
          <w:szCs w:val="24"/>
        </w:rPr>
        <w:t>NHH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t xml:space="preserve"> Committee may pool cash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br/>
        <w:t>of various funds to maximize investment earnings. Investment income shall be</w:t>
      </w:r>
      <w:r w:rsidR="00C65E1B" w:rsidRPr="003871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t>allocated to the various funds based upon their respective participation.</w:t>
      </w:r>
      <w:r w:rsidRPr="003871D5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21CB143" w14:textId="71C9080A" w:rsidR="00C65E1B" w:rsidRPr="00C65E1B" w:rsidRDefault="00CC45C3" w:rsidP="00C65E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Investment Methodology / Objectives</w:t>
      </w:r>
    </w:p>
    <w:p w14:paraId="57255313" w14:textId="77777777" w:rsidR="00C65E1B" w:rsidRDefault="00CC45C3" w:rsidP="00C65E1B">
      <w:pPr>
        <w:pStyle w:val="ListParagraph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 xml:space="preserve">The following investment objectives will be applied in the management of </w:t>
      </w:r>
      <w:r w:rsidR="00C65E1B">
        <w:rPr>
          <w:rFonts w:ascii="Arial" w:eastAsia="Times New Roman" w:hAnsi="Arial" w:cs="Arial"/>
          <w:color w:val="000000"/>
          <w:sz w:val="24"/>
          <w:szCs w:val="24"/>
        </w:rPr>
        <w:t>NHH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 xml:space="preserve"> investments, in no prioritized order: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D0E262D" w14:textId="207B632B" w:rsidR="00B42076" w:rsidRDefault="00CC45C3" w:rsidP="00B420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Safety – Preservation of Capital</w:t>
      </w:r>
      <w:r w:rsidR="00105EF5">
        <w:rPr>
          <w:rFonts w:ascii="Arial" w:eastAsia="Times New Roman" w:hAnsi="Arial" w:cs="Arial"/>
          <w:color w:val="000000"/>
          <w:sz w:val="24"/>
          <w:szCs w:val="24"/>
        </w:rPr>
        <w:t xml:space="preserve"> and ability to cover operating expenses</w:t>
      </w:r>
    </w:p>
    <w:p w14:paraId="7B88D8F7" w14:textId="77777777" w:rsidR="00B42076" w:rsidRDefault="00CC45C3" w:rsidP="00B420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Liquidity – Convertible into cash within 7 days</w:t>
      </w:r>
    </w:p>
    <w:p w14:paraId="3C4AF369" w14:textId="77777777" w:rsidR="00B42076" w:rsidRDefault="00CC45C3" w:rsidP="00B420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Return on Investment – Maximize return while avoiding unreasonable risk</w:t>
      </w:r>
    </w:p>
    <w:p w14:paraId="2B2BE7B7" w14:textId="783CF576" w:rsidR="00C65E1B" w:rsidRDefault="00CC45C3" w:rsidP="00B420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Preserve Real Purchasing Power – (keep pace with inflation)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1307F3A" w14:textId="1B2B44CC" w:rsidR="00780C13" w:rsidRDefault="00CC45C3" w:rsidP="0030520C">
      <w:pPr>
        <w:pStyle w:val="ListParagraph"/>
        <w:ind w:left="108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 xml:space="preserve">IV. </w:t>
      </w:r>
      <w:r w:rsidR="00C65E1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3052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367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>uthorized / Approved Institutions</w:t>
      </w:r>
      <w:r w:rsidR="00C65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>Investments may be placed with Board of Director approved institutions only.</w:t>
      </w:r>
    </w:p>
    <w:p w14:paraId="196912F6" w14:textId="7230510E" w:rsidR="00780C13" w:rsidRDefault="00CC45C3" w:rsidP="00736D83">
      <w:pPr>
        <w:pStyle w:val="ListParagraph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br/>
        <w:t xml:space="preserve">V. </w:t>
      </w:r>
      <w:r w:rsidR="00736D83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>Authorized / Approved Investment Instruments</w:t>
      </w:r>
    </w:p>
    <w:p w14:paraId="73B38BB4" w14:textId="2BB7C250" w:rsidR="00780C13" w:rsidRDefault="00CC45C3" w:rsidP="008608E3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br/>
        <w:t xml:space="preserve">A. </w:t>
      </w:r>
      <w:r w:rsidR="00843CAE">
        <w:rPr>
          <w:rFonts w:ascii="Arial" w:eastAsia="Times New Roman" w:hAnsi="Arial" w:cs="Arial"/>
          <w:color w:val="000000"/>
          <w:sz w:val="24"/>
          <w:szCs w:val="24"/>
        </w:rPr>
        <w:t>NHH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 xml:space="preserve"> is empowered to invest the following funds</w:t>
      </w:r>
      <w:r w:rsidR="00780C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>with the following priorities: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18B6598" w14:textId="5BAD8179" w:rsidR="00CC45C3" w:rsidRPr="00C65E1B" w:rsidRDefault="00CC45C3" w:rsidP="008608E3">
      <w:pPr>
        <w:pStyle w:val="ListParagraph"/>
        <w:ind w:left="1800"/>
        <w:rPr>
          <w:rFonts w:ascii="Arial" w:eastAsia="Times New Roman" w:hAnsi="Arial" w:cs="Arial"/>
          <w:sz w:val="24"/>
          <w:szCs w:val="24"/>
        </w:rPr>
      </w:pPr>
      <w:r w:rsidRPr="00C65E1B">
        <w:rPr>
          <w:rFonts w:ascii="Arial" w:eastAsia="Times New Roman" w:hAnsi="Arial" w:cs="Arial"/>
          <w:color w:val="000000"/>
          <w:sz w:val="24"/>
          <w:szCs w:val="24"/>
        </w:rPr>
        <w:t>1. Level I – Cash balances needed for current</w:t>
      </w:r>
      <w:r w:rsidR="00D86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8629B">
        <w:rPr>
          <w:rFonts w:ascii="Arial" w:eastAsia="Times New Roman" w:hAnsi="Arial" w:cs="Arial"/>
          <w:color w:val="000000"/>
          <w:sz w:val="24"/>
          <w:szCs w:val="24"/>
        </w:rPr>
        <w:t xml:space="preserve">12 </w:t>
      </w:r>
      <w:r w:rsidRPr="00C65E1B">
        <w:rPr>
          <w:rFonts w:ascii="Arial" w:eastAsia="Times New Roman" w:hAnsi="Arial" w:cs="Arial"/>
          <w:color w:val="000000"/>
          <w:sz w:val="24"/>
          <w:szCs w:val="24"/>
        </w:rPr>
        <w:t>month</w:t>
      </w:r>
      <w:proofErr w:type="gramEnd"/>
      <w:r w:rsidRPr="00C65E1B">
        <w:rPr>
          <w:rFonts w:ascii="Arial" w:eastAsia="Times New Roman" w:hAnsi="Arial" w:cs="Arial"/>
          <w:color w:val="000000"/>
          <w:sz w:val="24"/>
          <w:szCs w:val="24"/>
        </w:rPr>
        <w:t xml:space="preserve"> operating needs.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25"/>
        <w:gridCol w:w="1860"/>
      </w:tblGrid>
      <w:tr w:rsidR="00CC45C3" w:rsidRPr="00CC45C3" w14:paraId="7A6C122A" w14:textId="77777777" w:rsidTr="00780C13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41F2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Priorities: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6ED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Safety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F3C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Liquidity</w:t>
            </w:r>
          </w:p>
        </w:tc>
      </w:tr>
    </w:tbl>
    <w:p w14:paraId="3CD77AC7" w14:textId="77777777" w:rsidR="00780C13" w:rsidRDefault="00780C13" w:rsidP="00CC45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6E5059" w14:textId="77777777" w:rsidR="0030520C" w:rsidRDefault="0030520C" w:rsidP="00780C1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F01DF81" w14:textId="28E590E7" w:rsidR="00CC45C3" w:rsidRDefault="00CC45C3" w:rsidP="008608E3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CC45C3">
        <w:rPr>
          <w:rFonts w:ascii="Arial" w:eastAsia="Times New Roman" w:hAnsi="Arial" w:cs="Arial"/>
          <w:color w:val="000000"/>
          <w:sz w:val="24"/>
          <w:szCs w:val="24"/>
        </w:rPr>
        <w:t xml:space="preserve">2. Level II – Excess cash balances exceeding </w:t>
      </w:r>
      <w:r w:rsidR="00D8629B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CC45C3">
        <w:rPr>
          <w:rFonts w:ascii="Arial" w:eastAsia="Times New Roman" w:hAnsi="Arial" w:cs="Arial"/>
          <w:color w:val="000000"/>
          <w:sz w:val="24"/>
          <w:szCs w:val="24"/>
        </w:rPr>
        <w:t xml:space="preserve"> month’s operating needs, but</w:t>
      </w:r>
      <w:r w:rsidR="00780C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45C3">
        <w:rPr>
          <w:rFonts w:ascii="Arial" w:eastAsia="Times New Roman" w:hAnsi="Arial" w:cs="Arial"/>
          <w:color w:val="000000"/>
          <w:sz w:val="24"/>
          <w:szCs w:val="24"/>
        </w:rPr>
        <w:t>which are required within</w:t>
      </w:r>
      <w:r w:rsidR="00D86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45C3">
        <w:rPr>
          <w:rFonts w:ascii="Arial" w:eastAsia="Times New Roman" w:hAnsi="Arial" w:cs="Arial"/>
          <w:color w:val="000000"/>
          <w:sz w:val="24"/>
          <w:szCs w:val="24"/>
        </w:rPr>
        <w:t>2 Years.</w:t>
      </w:r>
    </w:p>
    <w:p w14:paraId="7084D0E8" w14:textId="77777777" w:rsidR="00780C13" w:rsidRPr="00CC45C3" w:rsidRDefault="00780C13" w:rsidP="00780C1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55"/>
        <w:gridCol w:w="1905"/>
        <w:gridCol w:w="1905"/>
      </w:tblGrid>
      <w:tr w:rsidR="00CC45C3" w:rsidRPr="00CC45C3" w14:paraId="632D1814" w14:textId="77777777" w:rsidTr="00780C13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1049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Priorities: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91BE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Safety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FBF8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Return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9AF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Liquidity</w:t>
            </w:r>
          </w:p>
        </w:tc>
      </w:tr>
    </w:tbl>
    <w:p w14:paraId="6821B395" w14:textId="77777777" w:rsidR="00780C13" w:rsidRDefault="00780C13" w:rsidP="00CC45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220F2A" w14:textId="77777777" w:rsidR="0030520C" w:rsidRDefault="0030520C" w:rsidP="0030520C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93710D0" w14:textId="77777777" w:rsidR="00A840DD" w:rsidRDefault="00A840DD" w:rsidP="00A840DD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5401A3E0" w14:textId="5F0D3855" w:rsidR="00CC45C3" w:rsidRDefault="00CC45C3" w:rsidP="00A840DD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CC45C3">
        <w:rPr>
          <w:rFonts w:ascii="Arial" w:eastAsia="Times New Roman" w:hAnsi="Arial" w:cs="Arial"/>
          <w:color w:val="000000"/>
          <w:sz w:val="24"/>
          <w:szCs w:val="24"/>
        </w:rPr>
        <w:t>3. Level III – Excess cash that is not needed, within the next 2 years.</w:t>
      </w:r>
    </w:p>
    <w:p w14:paraId="10CF5799" w14:textId="77777777" w:rsidR="0030520C" w:rsidRPr="00CC45C3" w:rsidRDefault="0030520C" w:rsidP="00CC45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545"/>
        <w:gridCol w:w="1800"/>
        <w:gridCol w:w="1680"/>
        <w:gridCol w:w="1575"/>
      </w:tblGrid>
      <w:tr w:rsidR="00CC45C3" w:rsidRPr="00CC45C3" w14:paraId="5882091F" w14:textId="77777777" w:rsidTr="0030520C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9A0C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Priorities: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7C0" w14:textId="1D16E0E0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 w:rsidR="00AB39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Safety</w:t>
            </w: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6EF9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Preserve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3893" w14:textId="2976D792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r w:rsidR="00AB39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Return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B62" w14:textId="0E6C8039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  <w:r w:rsidR="00AB39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Liquidity</w:t>
            </w:r>
          </w:p>
        </w:tc>
      </w:tr>
    </w:tbl>
    <w:p w14:paraId="7043193D" w14:textId="77777777" w:rsidR="0030520C" w:rsidRDefault="0030520C" w:rsidP="00CC45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97284A" w14:textId="77777777" w:rsidR="0030520C" w:rsidRDefault="0030520C" w:rsidP="00CC45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A4BEC9" w14:textId="7194EEB9" w:rsidR="00CC45C3" w:rsidRDefault="00CC45C3" w:rsidP="00843CAE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CC45C3">
        <w:rPr>
          <w:rFonts w:ascii="Arial" w:eastAsia="Times New Roman" w:hAnsi="Arial" w:cs="Arial"/>
          <w:color w:val="000000"/>
          <w:sz w:val="24"/>
          <w:szCs w:val="24"/>
        </w:rPr>
        <w:t>4. Level IV – Restricted Gifts</w:t>
      </w:r>
    </w:p>
    <w:p w14:paraId="0F48860E" w14:textId="77777777" w:rsidR="0030520C" w:rsidRPr="00CC45C3" w:rsidRDefault="0030520C" w:rsidP="00CC45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10"/>
      </w:tblGrid>
      <w:tr w:rsidR="00CC45C3" w:rsidRPr="00CC45C3" w14:paraId="4CDD21B6" w14:textId="77777777" w:rsidTr="0030520C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44D" w14:textId="77777777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Priority: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90C" w14:textId="449522BD" w:rsidR="00CC45C3" w:rsidRPr="00CC45C3" w:rsidRDefault="00CC45C3" w:rsidP="00CC4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4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Donor intentio</w:t>
            </w:r>
            <w:r w:rsidR="003052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</w:tbl>
    <w:p w14:paraId="1F92518D" w14:textId="708CBFAB" w:rsidR="009C0107" w:rsidRDefault="009C0107" w:rsidP="00DD12E1">
      <w:pPr>
        <w:pStyle w:val="ListParagraph"/>
        <w:ind w:left="1080"/>
        <w:rPr>
          <w:rFonts w:ascii="Arial" w:hAnsi="Arial" w:cs="Arial"/>
        </w:rPr>
      </w:pPr>
    </w:p>
    <w:p w14:paraId="62A20798" w14:textId="7D0A3173" w:rsidR="00A840DD" w:rsidRPr="00843CAE" w:rsidRDefault="00A840DD" w:rsidP="00DD12E1">
      <w:pPr>
        <w:pStyle w:val="ListParagraph"/>
        <w:ind w:left="1080"/>
        <w:rPr>
          <w:rFonts w:ascii="Arial" w:hAnsi="Arial" w:cs="Arial"/>
        </w:rPr>
      </w:pPr>
    </w:p>
    <w:p w14:paraId="73C22448" w14:textId="77777777" w:rsidR="00843CAE" w:rsidRDefault="00843CAE" w:rsidP="00843CAE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r w:rsidRPr="00843CAE">
        <w:rPr>
          <w:rFonts w:ascii="Arial" w:hAnsi="Arial" w:cs="Arial"/>
          <w:color w:val="000000"/>
          <w:sz w:val="24"/>
          <w:szCs w:val="24"/>
        </w:rPr>
        <w:t>B. Restricted Actions:</w:t>
      </w:r>
    </w:p>
    <w:p w14:paraId="2B4D6221" w14:textId="77777777" w:rsidR="00843CAE" w:rsidRDefault="00843CAE" w:rsidP="00843CAE">
      <w:pPr>
        <w:pStyle w:val="ListParagraph"/>
        <w:ind w:left="1800"/>
        <w:rPr>
          <w:rFonts w:ascii="Arial" w:hAnsi="Arial" w:cs="Arial"/>
          <w:color w:val="000000"/>
          <w:sz w:val="24"/>
          <w:szCs w:val="24"/>
        </w:rPr>
      </w:pP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1. Authority: Only signers authorized by the Board of Directors shall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have the authority to transfer funds from one Financial Institution to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another.</w:t>
      </w:r>
    </w:p>
    <w:p w14:paraId="51072889" w14:textId="61EC281D" w:rsidR="00843CAE" w:rsidRDefault="00843CAE" w:rsidP="00843CAE">
      <w:pPr>
        <w:pStyle w:val="ListParagraph"/>
        <w:ind w:left="1800"/>
        <w:rPr>
          <w:rFonts w:ascii="Arial" w:hAnsi="Arial" w:cs="Arial"/>
          <w:color w:val="000000"/>
          <w:sz w:val="24"/>
          <w:szCs w:val="24"/>
        </w:rPr>
      </w:pP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2. Delegation of Authority: The ultimate responsibility for conducting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investment strategy resides with the Board of Directors. Management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of the investment program has been delegated to the Finance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Committee. The Finance Committee has the authority to recommend to</w:t>
      </w:r>
      <w:r w:rsidR="001249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CAE">
        <w:rPr>
          <w:rFonts w:ascii="Arial" w:hAnsi="Arial" w:cs="Arial"/>
          <w:color w:val="000000"/>
          <w:sz w:val="24"/>
          <w:szCs w:val="24"/>
        </w:rPr>
        <w:t>the Board, and appoint upon Board approval, a Trustee, Trustees, or an</w:t>
      </w:r>
      <w:r w:rsidR="001249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CAE">
        <w:rPr>
          <w:rFonts w:ascii="Arial" w:hAnsi="Arial" w:cs="Arial"/>
          <w:color w:val="000000"/>
          <w:sz w:val="24"/>
          <w:szCs w:val="24"/>
        </w:rPr>
        <w:t>Investment Manager to manage all or some of the investments.</w:t>
      </w:r>
    </w:p>
    <w:p w14:paraId="2B63453D" w14:textId="6DB4475D" w:rsidR="00843CAE" w:rsidRPr="00E95AC8" w:rsidRDefault="00843CAE" w:rsidP="00843CAE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95AC8">
        <w:rPr>
          <w:rFonts w:ascii="Arial" w:hAnsi="Arial" w:cs="Arial"/>
          <w:sz w:val="24"/>
          <w:szCs w:val="24"/>
        </w:rPr>
        <w:t>Investment Strategy Changes: The Finance Committee is required</w:t>
      </w:r>
      <w:r w:rsidRPr="00E95AC8">
        <w:rPr>
          <w:rFonts w:ascii="Arial" w:hAnsi="Arial" w:cs="Arial"/>
        </w:rPr>
        <w:br/>
      </w:r>
      <w:r w:rsidRPr="00E95AC8">
        <w:rPr>
          <w:rFonts w:ascii="Arial" w:hAnsi="Arial" w:cs="Arial"/>
          <w:sz w:val="24"/>
          <w:szCs w:val="24"/>
        </w:rPr>
        <w:t xml:space="preserve">to acquire Board approval of </w:t>
      </w:r>
      <w:r w:rsidR="00493462" w:rsidRPr="00E95AC8">
        <w:rPr>
          <w:rFonts w:ascii="Arial" w:hAnsi="Arial" w:cs="Arial"/>
          <w:sz w:val="24"/>
          <w:szCs w:val="24"/>
        </w:rPr>
        <w:t xml:space="preserve">material </w:t>
      </w:r>
      <w:r w:rsidRPr="00E95AC8">
        <w:rPr>
          <w:rFonts w:ascii="Arial" w:hAnsi="Arial" w:cs="Arial"/>
          <w:sz w:val="24"/>
          <w:szCs w:val="24"/>
        </w:rPr>
        <w:t>plan changes, in advance of any action</w:t>
      </w:r>
      <w:r w:rsidR="00493462" w:rsidRPr="00E95AC8">
        <w:rPr>
          <w:rFonts w:ascii="Arial" w:hAnsi="Arial" w:cs="Arial"/>
          <w:sz w:val="24"/>
          <w:szCs w:val="24"/>
        </w:rPr>
        <w:t xml:space="preserve"> </w:t>
      </w:r>
      <w:r w:rsidRPr="00E95AC8">
        <w:rPr>
          <w:rFonts w:ascii="Arial" w:hAnsi="Arial" w:cs="Arial"/>
          <w:sz w:val="24"/>
          <w:szCs w:val="24"/>
        </w:rPr>
        <w:t>taken.</w:t>
      </w:r>
    </w:p>
    <w:p w14:paraId="0BCF0300" w14:textId="1AAAF41A" w:rsidR="00843CAE" w:rsidRDefault="00843CAE" w:rsidP="00843CAE">
      <w:pPr>
        <w:pStyle w:val="ListParagraph"/>
        <w:ind w:left="1800"/>
        <w:rPr>
          <w:rFonts w:ascii="Arial" w:hAnsi="Arial" w:cs="Arial"/>
          <w:color w:val="000000"/>
          <w:sz w:val="24"/>
          <w:szCs w:val="24"/>
        </w:rPr>
      </w:pPr>
      <w:r w:rsidRPr="00E95AC8">
        <w:rPr>
          <w:rFonts w:ascii="Arial" w:hAnsi="Arial" w:cs="Arial"/>
        </w:rPr>
        <w:br/>
      </w:r>
      <w:r w:rsidRPr="00E95AC8">
        <w:rPr>
          <w:rFonts w:ascii="Arial" w:hAnsi="Arial" w:cs="Arial"/>
          <w:sz w:val="24"/>
          <w:szCs w:val="24"/>
        </w:rPr>
        <w:t xml:space="preserve">4. Donated securities: Disposition </w:t>
      </w:r>
      <w:r w:rsidRPr="00843CAE">
        <w:rPr>
          <w:rFonts w:ascii="Arial" w:hAnsi="Arial" w:cs="Arial"/>
          <w:color w:val="000000"/>
          <w:sz w:val="24"/>
          <w:szCs w:val="24"/>
        </w:rPr>
        <w:t>of securities donated will follow the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intention of the donor. Any donated assets received that do not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conform to this policy will be liquidated as quickly as feasible, and</w:t>
      </w:r>
      <w:r w:rsidRPr="00843CAE">
        <w:rPr>
          <w:rFonts w:ascii="Arial" w:hAnsi="Arial" w:cs="Arial"/>
          <w:color w:val="000000"/>
        </w:rPr>
        <w:br/>
      </w:r>
      <w:r w:rsidRPr="00843CAE">
        <w:rPr>
          <w:rFonts w:ascii="Arial" w:hAnsi="Arial" w:cs="Arial"/>
          <w:color w:val="000000"/>
          <w:sz w:val="24"/>
          <w:szCs w:val="24"/>
        </w:rPr>
        <w:t>reinvested in conformance with this policy.</w:t>
      </w:r>
    </w:p>
    <w:p w14:paraId="0CCF2676" w14:textId="77777777" w:rsidR="00864FD0" w:rsidRDefault="00864FD0" w:rsidP="00864FD0">
      <w:pPr>
        <w:pStyle w:val="ListParagraph"/>
        <w:ind w:left="1080" w:hanging="720"/>
        <w:rPr>
          <w:rFonts w:ascii="Arial" w:hAnsi="Arial" w:cs="Arial"/>
          <w:color w:val="000000"/>
        </w:rPr>
      </w:pPr>
    </w:p>
    <w:p w14:paraId="108F6944" w14:textId="525D207C" w:rsidR="00864FD0" w:rsidRDefault="00843CAE" w:rsidP="00864FD0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843CAE">
        <w:rPr>
          <w:rFonts w:ascii="Arial" w:hAnsi="Arial" w:cs="Arial"/>
          <w:color w:val="000000"/>
          <w:sz w:val="24"/>
          <w:szCs w:val="24"/>
        </w:rPr>
        <w:t xml:space="preserve">VI. </w:t>
      </w:r>
      <w:r w:rsidR="00864FD0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843CAE">
        <w:rPr>
          <w:rFonts w:ascii="Arial" w:hAnsi="Arial" w:cs="Arial"/>
          <w:color w:val="000000"/>
          <w:sz w:val="24"/>
          <w:szCs w:val="24"/>
        </w:rPr>
        <w:t>Reporting</w:t>
      </w:r>
    </w:p>
    <w:p w14:paraId="100ADC4C" w14:textId="2D94376E" w:rsidR="00F5641C" w:rsidRPr="00E95AC8" w:rsidRDefault="00843CAE" w:rsidP="00864FD0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r w:rsidRPr="00843CAE">
        <w:rPr>
          <w:rFonts w:ascii="Arial" w:hAnsi="Arial" w:cs="Arial"/>
          <w:color w:val="000000"/>
        </w:rPr>
        <w:br/>
      </w:r>
      <w:r w:rsidRPr="00E95AC8">
        <w:rPr>
          <w:rFonts w:ascii="Arial" w:hAnsi="Arial" w:cs="Arial"/>
          <w:sz w:val="24"/>
          <w:szCs w:val="24"/>
        </w:rPr>
        <w:t xml:space="preserve">The President, or delegate shall submit </w:t>
      </w:r>
      <w:r w:rsidR="0053070B" w:rsidRPr="00E95AC8">
        <w:rPr>
          <w:rFonts w:ascii="Arial" w:hAnsi="Arial" w:cs="Arial"/>
          <w:sz w:val="24"/>
          <w:szCs w:val="24"/>
        </w:rPr>
        <w:t>periodic</w:t>
      </w:r>
      <w:r w:rsidRPr="00E95AC8">
        <w:rPr>
          <w:rFonts w:ascii="Arial" w:hAnsi="Arial" w:cs="Arial"/>
          <w:sz w:val="24"/>
          <w:szCs w:val="24"/>
        </w:rPr>
        <w:t xml:space="preserve"> investment report</w:t>
      </w:r>
      <w:r w:rsidR="00D2626E" w:rsidRPr="00E95AC8">
        <w:rPr>
          <w:rFonts w:ascii="Arial" w:hAnsi="Arial" w:cs="Arial"/>
          <w:sz w:val="24"/>
          <w:szCs w:val="24"/>
        </w:rPr>
        <w:t>s</w:t>
      </w:r>
      <w:r w:rsidR="00493462" w:rsidRPr="00E95AC8">
        <w:rPr>
          <w:rFonts w:ascii="Arial" w:hAnsi="Arial" w:cs="Arial"/>
          <w:sz w:val="24"/>
          <w:szCs w:val="24"/>
        </w:rPr>
        <w:t xml:space="preserve"> upon request</w:t>
      </w:r>
      <w:r w:rsidR="00D2626E" w:rsidRPr="00E95AC8">
        <w:rPr>
          <w:rFonts w:ascii="Arial" w:hAnsi="Arial" w:cs="Arial"/>
          <w:sz w:val="24"/>
          <w:szCs w:val="24"/>
        </w:rPr>
        <w:t xml:space="preserve"> by the </w:t>
      </w:r>
      <w:r w:rsidR="0053070B" w:rsidRPr="00E95AC8">
        <w:rPr>
          <w:rFonts w:ascii="Arial" w:hAnsi="Arial" w:cs="Arial"/>
          <w:sz w:val="24"/>
          <w:szCs w:val="24"/>
        </w:rPr>
        <w:t>Board of Directors</w:t>
      </w:r>
      <w:r w:rsidRPr="00E95AC8">
        <w:rPr>
          <w:rFonts w:ascii="Arial" w:hAnsi="Arial" w:cs="Arial"/>
          <w:sz w:val="24"/>
          <w:szCs w:val="24"/>
        </w:rPr>
        <w:t xml:space="preserve"> that provides the</w:t>
      </w:r>
      <w:r w:rsidR="00F5641C" w:rsidRPr="00E95AC8">
        <w:rPr>
          <w:rFonts w:ascii="Arial" w:hAnsi="Arial" w:cs="Arial"/>
          <w:sz w:val="24"/>
          <w:szCs w:val="24"/>
        </w:rPr>
        <w:t xml:space="preserve"> </w:t>
      </w:r>
      <w:r w:rsidRPr="00E95AC8">
        <w:rPr>
          <w:rFonts w:ascii="Arial" w:hAnsi="Arial" w:cs="Arial"/>
          <w:sz w:val="24"/>
          <w:szCs w:val="24"/>
        </w:rPr>
        <w:t>principal, type of investments, annualized return, appreciation, maturity date and</w:t>
      </w:r>
      <w:r w:rsidR="00F5641C" w:rsidRPr="00E95AC8">
        <w:rPr>
          <w:rFonts w:ascii="Arial" w:hAnsi="Arial" w:cs="Arial"/>
        </w:rPr>
        <w:t xml:space="preserve"> </w:t>
      </w:r>
      <w:r w:rsidRPr="00E95AC8">
        <w:rPr>
          <w:rFonts w:ascii="Arial" w:hAnsi="Arial" w:cs="Arial"/>
          <w:sz w:val="24"/>
          <w:szCs w:val="24"/>
        </w:rPr>
        <w:t>financial institution information to the Finance Committee.</w:t>
      </w:r>
      <w:r w:rsidRPr="00E95AC8">
        <w:rPr>
          <w:rFonts w:ascii="Arial" w:hAnsi="Arial" w:cs="Arial"/>
        </w:rPr>
        <w:br/>
      </w:r>
    </w:p>
    <w:p w14:paraId="25E689DA" w14:textId="2E39F776" w:rsidR="00F5641C" w:rsidRPr="00E95AC8" w:rsidRDefault="009D1B17" w:rsidP="00F5641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95AC8">
        <w:rPr>
          <w:rFonts w:ascii="Arial" w:hAnsi="Arial" w:cs="Arial"/>
          <w:sz w:val="24"/>
          <w:szCs w:val="24"/>
        </w:rPr>
        <w:t>U</w:t>
      </w:r>
      <w:r w:rsidR="00493462" w:rsidRPr="00E95AC8">
        <w:rPr>
          <w:rFonts w:ascii="Arial" w:hAnsi="Arial" w:cs="Arial"/>
          <w:sz w:val="24"/>
          <w:szCs w:val="24"/>
        </w:rPr>
        <w:t xml:space="preserve">pon request by the Board of Directors </w:t>
      </w:r>
      <w:r w:rsidRPr="00E95AC8">
        <w:rPr>
          <w:rFonts w:ascii="Arial" w:hAnsi="Arial" w:cs="Arial"/>
          <w:sz w:val="24"/>
          <w:szCs w:val="24"/>
        </w:rPr>
        <w:t xml:space="preserve">a periodic </w:t>
      </w:r>
      <w:r w:rsidR="00843CAE" w:rsidRPr="00E95AC8">
        <w:rPr>
          <w:rFonts w:ascii="Arial" w:hAnsi="Arial" w:cs="Arial"/>
          <w:sz w:val="24"/>
          <w:szCs w:val="24"/>
        </w:rPr>
        <w:t>review of the investment strategy, a past and future risk assessment, a</w:t>
      </w:r>
      <w:r w:rsidR="00F5641C" w:rsidRPr="00E95AC8">
        <w:rPr>
          <w:rFonts w:ascii="Arial" w:hAnsi="Arial" w:cs="Arial"/>
          <w:sz w:val="24"/>
          <w:szCs w:val="24"/>
        </w:rPr>
        <w:t xml:space="preserve"> </w:t>
      </w:r>
      <w:r w:rsidR="00843CAE" w:rsidRPr="00E95AC8">
        <w:rPr>
          <w:rFonts w:ascii="Arial" w:hAnsi="Arial" w:cs="Arial"/>
          <w:sz w:val="24"/>
          <w:szCs w:val="24"/>
        </w:rPr>
        <w:t xml:space="preserve">future risk survey, and future </w:t>
      </w:r>
      <w:r w:rsidR="00843CAE" w:rsidRPr="00E95AC8">
        <w:rPr>
          <w:rFonts w:ascii="Arial" w:hAnsi="Arial" w:cs="Arial"/>
          <w:sz w:val="24"/>
          <w:szCs w:val="24"/>
        </w:rPr>
        <w:lastRenderedPageBreak/>
        <w:t>investment recommendations, will be performed by the</w:t>
      </w:r>
      <w:r w:rsidR="00F5641C" w:rsidRPr="00E95AC8">
        <w:rPr>
          <w:rFonts w:ascii="Arial" w:hAnsi="Arial" w:cs="Arial"/>
          <w:sz w:val="24"/>
          <w:szCs w:val="24"/>
        </w:rPr>
        <w:t xml:space="preserve"> </w:t>
      </w:r>
      <w:r w:rsidR="00843CAE" w:rsidRPr="00E95AC8">
        <w:rPr>
          <w:rFonts w:ascii="Arial" w:hAnsi="Arial" w:cs="Arial"/>
          <w:sz w:val="24"/>
          <w:szCs w:val="24"/>
        </w:rPr>
        <w:t xml:space="preserve">Finance Committee, and </w:t>
      </w:r>
      <w:r w:rsidR="00493462" w:rsidRPr="00E95AC8">
        <w:rPr>
          <w:rFonts w:ascii="Arial" w:hAnsi="Arial" w:cs="Arial"/>
          <w:sz w:val="24"/>
          <w:szCs w:val="24"/>
        </w:rPr>
        <w:t>presented to</w:t>
      </w:r>
      <w:r w:rsidR="00843CAE" w:rsidRPr="00E95AC8">
        <w:rPr>
          <w:rFonts w:ascii="Arial" w:hAnsi="Arial" w:cs="Arial"/>
          <w:sz w:val="24"/>
          <w:szCs w:val="24"/>
        </w:rPr>
        <w:t xml:space="preserve"> the Board of Directors for approval.</w:t>
      </w:r>
    </w:p>
    <w:p w14:paraId="674E3A85" w14:textId="77777777" w:rsidR="00F5641C" w:rsidRDefault="00F5641C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23ECEE00" w14:textId="7F946B36" w:rsidR="00F5641C" w:rsidRDefault="00843CAE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Material deviations from existing investment strategies or information indicating a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material loss of capital on existing investments shall be reported to the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President, and the Board of Directors.</w:t>
      </w:r>
      <w:r w:rsidRPr="00F5641C">
        <w:rPr>
          <w:rFonts w:ascii="Arial" w:hAnsi="Arial" w:cs="Arial"/>
          <w:color w:val="000000"/>
        </w:rPr>
        <w:br/>
      </w:r>
    </w:p>
    <w:p w14:paraId="5F180A82" w14:textId="77777777" w:rsidR="00F5641C" w:rsidRDefault="00843CAE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  <w:sz w:val="24"/>
          <w:szCs w:val="24"/>
        </w:rPr>
        <w:t xml:space="preserve">All investment transactions shall be recorded in the various funds of the </w:t>
      </w:r>
      <w:r w:rsidR="00F5641C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in accordance with Generally Accepted Accounting Principles.</w:t>
      </w:r>
    </w:p>
    <w:p w14:paraId="266B2246" w14:textId="77777777" w:rsidR="00F5641C" w:rsidRDefault="00843CAE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Investments will be carried at market value or when that is not easily determined at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cost or amortized cost which approximates market value. Gains or losses of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investments in all funds will be recognized at the time of disposition of the security.</w:t>
      </w:r>
    </w:p>
    <w:p w14:paraId="72D25410" w14:textId="77777777" w:rsidR="00F5641C" w:rsidRDefault="00843CAE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Market price shall be disclosed annually in the financial statements and periodically in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the performance reports.</w:t>
      </w:r>
      <w:r w:rsidRPr="00F5641C">
        <w:rPr>
          <w:rFonts w:ascii="Arial" w:hAnsi="Arial" w:cs="Arial"/>
        </w:rPr>
        <w:br/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 xml:space="preserve">In managing its investments, </w:t>
      </w:r>
      <w:r w:rsidR="00F5641C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 shall avoid any transaction that might impair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public confidence. Investments shall be made with judgment and care, under</w:t>
      </w:r>
      <w:r w:rsid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circumstances then prevailing.</w:t>
      </w:r>
    </w:p>
    <w:p w14:paraId="2BFFC0D8" w14:textId="78AA9305" w:rsidR="00C257F2" w:rsidRDefault="00843CAE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These standards are established, as the standard for professional responsibility, and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shall be applied in the context of managing all investments. Those delegated with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investment responsibility of </w:t>
      </w:r>
      <w:r w:rsidR="00450CC7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  <w:sz w:val="24"/>
          <w:szCs w:val="24"/>
        </w:rPr>
        <w:t>, acting in accordance with this Investment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Policy, and / or written procedures as may be established, and exercising due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diligence, shall be relieved of personal responsibility for an individual instrument’s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credit risk or market price changes, provided that deviations from expectations are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reported in a timely fashion, and appropriate action is taken to control adverse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developments.</w:t>
      </w:r>
    </w:p>
    <w:p w14:paraId="4C9A896C" w14:textId="77777777" w:rsidR="00C257F2" w:rsidRDefault="00C257F2" w:rsidP="00F5641C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204F6393" w14:textId="6C25890D" w:rsidR="00C257F2" w:rsidRDefault="00843CAE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  <w:sz w:val="24"/>
          <w:szCs w:val="24"/>
        </w:rPr>
        <w:t xml:space="preserve">VII. </w:t>
      </w:r>
      <w:r w:rsidR="00C257F2">
        <w:rPr>
          <w:rFonts w:ascii="Arial" w:hAnsi="Arial" w:cs="Arial"/>
          <w:color w:val="000000"/>
          <w:sz w:val="24"/>
          <w:szCs w:val="24"/>
        </w:rPr>
        <w:tab/>
      </w:r>
      <w:r w:rsidRPr="00F5641C">
        <w:rPr>
          <w:rFonts w:ascii="Arial" w:hAnsi="Arial" w:cs="Arial"/>
          <w:color w:val="000000"/>
          <w:sz w:val="24"/>
          <w:szCs w:val="24"/>
        </w:rPr>
        <w:t>Conflicts of Interest</w:t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 xml:space="preserve">All Volunteers and employees shall annually read, understand, and sign the </w:t>
      </w:r>
      <w:r w:rsidR="00C257F2">
        <w:rPr>
          <w:rFonts w:ascii="Arial" w:hAnsi="Arial" w:cs="Arial"/>
          <w:color w:val="000000"/>
          <w:sz w:val="24"/>
          <w:szCs w:val="24"/>
        </w:rPr>
        <w:t>NHH’s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 </w:t>
      </w:r>
      <w:r w:rsidR="00CC2BA4">
        <w:rPr>
          <w:rFonts w:ascii="Arial" w:hAnsi="Arial" w:cs="Arial"/>
          <w:color w:val="000000"/>
          <w:sz w:val="24"/>
          <w:szCs w:val="24"/>
        </w:rPr>
        <w:t>Conflict of Interest Policy and disclose affirmatively at each board meeting any conflicts of interest</w:t>
      </w:r>
      <w:r w:rsidRPr="00F5641C">
        <w:rPr>
          <w:rFonts w:ascii="Arial" w:hAnsi="Arial" w:cs="Arial"/>
          <w:color w:val="000000"/>
          <w:sz w:val="24"/>
          <w:szCs w:val="24"/>
        </w:rPr>
        <w:t>.</w:t>
      </w:r>
    </w:p>
    <w:p w14:paraId="5C0E0B6A" w14:textId="77777777" w:rsidR="00C257F2" w:rsidRDefault="00C257F2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5B10C729" w14:textId="77777777" w:rsidR="00C257F2" w:rsidRDefault="00843CAE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  <w:sz w:val="24"/>
          <w:szCs w:val="24"/>
        </w:rPr>
        <w:t>VIII.</w:t>
      </w:r>
      <w:r w:rsidR="00C257F2">
        <w:rPr>
          <w:rFonts w:ascii="Arial" w:hAnsi="Arial" w:cs="Arial"/>
          <w:color w:val="000000"/>
          <w:sz w:val="24"/>
          <w:szCs w:val="24"/>
        </w:rPr>
        <w:tab/>
      </w:r>
      <w:r w:rsidRPr="00F5641C">
        <w:rPr>
          <w:rFonts w:ascii="Arial" w:hAnsi="Arial" w:cs="Arial"/>
          <w:color w:val="000000"/>
          <w:sz w:val="24"/>
          <w:szCs w:val="24"/>
        </w:rPr>
        <w:t>Safekeeping and Custody: Third-Party Custodial Agreements</w:t>
      </w:r>
      <w:r w:rsidRPr="00F5641C">
        <w:rPr>
          <w:rFonts w:ascii="Arial" w:hAnsi="Arial" w:cs="Arial"/>
          <w:color w:val="000000"/>
        </w:rPr>
        <w:br/>
      </w:r>
    </w:p>
    <w:p w14:paraId="4E03A2BD" w14:textId="5C7162D8" w:rsidR="00C257F2" w:rsidRDefault="00843CAE" w:rsidP="00C257F2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  <w:sz w:val="24"/>
          <w:szCs w:val="24"/>
        </w:rPr>
        <w:t xml:space="preserve">All investments purchased by </w:t>
      </w:r>
      <w:r w:rsidR="00C257F2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 shall be properly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designated as an asset and held in safekeeping by a </w:t>
      </w:r>
      <w:proofErr w:type="gramStart"/>
      <w:r w:rsidRPr="00F5641C">
        <w:rPr>
          <w:rFonts w:ascii="Arial" w:hAnsi="Arial" w:cs="Arial"/>
          <w:color w:val="000000"/>
          <w:sz w:val="24"/>
          <w:szCs w:val="24"/>
        </w:rPr>
        <w:t>third party</w:t>
      </w:r>
      <w:proofErr w:type="gramEnd"/>
      <w:r w:rsidRPr="00F5641C">
        <w:rPr>
          <w:rFonts w:ascii="Arial" w:hAnsi="Arial" w:cs="Arial"/>
          <w:color w:val="000000"/>
          <w:sz w:val="24"/>
          <w:szCs w:val="24"/>
        </w:rPr>
        <w:t xml:space="preserve"> custodial bank or other</w:t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third party custodial institution.</w:t>
      </w:r>
    </w:p>
    <w:p w14:paraId="04E9F048" w14:textId="77777777" w:rsidR="00C257F2" w:rsidRDefault="00C257F2" w:rsidP="00C257F2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14:paraId="34CD9E0A" w14:textId="77777777" w:rsidR="00C257F2" w:rsidRDefault="00843CAE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  <w:sz w:val="24"/>
          <w:szCs w:val="24"/>
        </w:rPr>
        <w:t xml:space="preserve">IX. </w:t>
      </w:r>
      <w:r w:rsidR="00C257F2">
        <w:rPr>
          <w:rFonts w:ascii="Arial" w:hAnsi="Arial" w:cs="Arial"/>
          <w:color w:val="000000"/>
          <w:sz w:val="24"/>
          <w:szCs w:val="24"/>
        </w:rPr>
        <w:tab/>
      </w:r>
      <w:r w:rsidRPr="00F5641C">
        <w:rPr>
          <w:rFonts w:ascii="Arial" w:hAnsi="Arial" w:cs="Arial"/>
          <w:color w:val="000000"/>
          <w:sz w:val="24"/>
          <w:szCs w:val="24"/>
        </w:rPr>
        <w:t>Investment Policy / Adoption / Amendment</w:t>
      </w:r>
    </w:p>
    <w:p w14:paraId="6A7168C0" w14:textId="77777777" w:rsidR="0053070B" w:rsidRDefault="00843CAE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lastRenderedPageBreak/>
        <w:br/>
      </w:r>
      <w:r w:rsidRPr="00F5641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257F2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 Policy, as first approved by at least a majority of the</w:t>
      </w:r>
      <w:r w:rsidR="00C2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members of the Finance Committee, shall be adopted by resolution of </w:t>
      </w:r>
      <w:r w:rsidR="00C257F2">
        <w:rPr>
          <w:rFonts w:ascii="Arial" w:hAnsi="Arial" w:cs="Arial"/>
          <w:color w:val="000000"/>
          <w:sz w:val="24"/>
          <w:szCs w:val="24"/>
        </w:rPr>
        <w:t>the NHH</w:t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Board of Directors.</w:t>
      </w:r>
    </w:p>
    <w:p w14:paraId="0B1803D0" w14:textId="5C6A05E7" w:rsidR="00A840DD" w:rsidRDefault="00843CAE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 xml:space="preserve">The Finance Committee and Board of Directors shall review the </w:t>
      </w:r>
      <w:r w:rsidR="00FD269A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</w:rPr>
        <w:br/>
      </w:r>
      <w:r w:rsidRPr="00F5641C">
        <w:rPr>
          <w:rFonts w:ascii="Arial" w:hAnsi="Arial" w:cs="Arial"/>
          <w:color w:val="000000"/>
          <w:sz w:val="24"/>
          <w:szCs w:val="24"/>
        </w:rPr>
        <w:t>Investment Policy annually. Modifications made at that time, or when otherwise</w:t>
      </w:r>
      <w:r w:rsidR="00FD26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necessary, must be approved by the </w:t>
      </w:r>
      <w:r w:rsidR="00450CC7">
        <w:rPr>
          <w:rFonts w:ascii="Arial" w:hAnsi="Arial" w:cs="Arial"/>
          <w:color w:val="000000"/>
          <w:sz w:val="24"/>
          <w:szCs w:val="24"/>
        </w:rPr>
        <w:t>NHH</w:t>
      </w:r>
      <w:r w:rsidRPr="00F5641C">
        <w:rPr>
          <w:rFonts w:ascii="Arial" w:hAnsi="Arial" w:cs="Arial"/>
          <w:color w:val="000000"/>
          <w:sz w:val="24"/>
          <w:szCs w:val="24"/>
        </w:rPr>
        <w:t xml:space="preserve"> Board of Directors.</w:t>
      </w:r>
      <w:r w:rsidR="00FD26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41C">
        <w:rPr>
          <w:rFonts w:ascii="Arial" w:hAnsi="Arial" w:cs="Arial"/>
          <w:color w:val="000000"/>
          <w:sz w:val="24"/>
          <w:szCs w:val="24"/>
        </w:rPr>
        <w:t>This policy was last reviewed and approved b</w:t>
      </w:r>
      <w:r w:rsidR="00FD269A">
        <w:rPr>
          <w:rFonts w:ascii="Arial" w:hAnsi="Arial" w:cs="Arial"/>
          <w:color w:val="000000"/>
          <w:sz w:val="24"/>
          <w:szCs w:val="24"/>
        </w:rPr>
        <w:t>y</w:t>
      </w:r>
    </w:p>
    <w:p w14:paraId="7BB179C1" w14:textId="6298DFD1" w:rsidR="00FD269A" w:rsidRDefault="00FD269A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1DCF34C3" w14:textId="49AF18F9" w:rsidR="00FD269A" w:rsidRDefault="00FD269A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5D5DE5E4" w14:textId="76494912" w:rsidR="00277F0C" w:rsidRDefault="00277F0C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7485314B" w14:textId="728CF1A4" w:rsidR="00277F0C" w:rsidRDefault="00CC2BA4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Approved by </w:t>
      </w:r>
      <w:r w:rsidR="00277F0C">
        <w:rPr>
          <w:rFonts w:ascii="Arial" w:hAnsi="Arial" w:cs="Arial"/>
          <w:color w:val="000000"/>
          <w:sz w:val="24"/>
          <w:szCs w:val="24"/>
        </w:rPr>
        <w:t xml:space="preserve">Finance Committee on </w:t>
      </w:r>
      <w:r>
        <w:rPr>
          <w:rFonts w:ascii="Arial" w:hAnsi="Arial" w:cs="Arial"/>
          <w:color w:val="000000"/>
          <w:sz w:val="24"/>
          <w:szCs w:val="24"/>
        </w:rPr>
        <w:t>January 4, 2023.</w:t>
      </w:r>
    </w:p>
    <w:p w14:paraId="67E5C6AC" w14:textId="77777777" w:rsidR="00277F0C" w:rsidRDefault="00277F0C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18BFE208" w14:textId="144F0315" w:rsidR="00277F0C" w:rsidRDefault="00277F0C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14:paraId="3635FC9E" w14:textId="404B813F" w:rsidR="00277F0C" w:rsidRPr="00F5641C" w:rsidRDefault="00277F0C" w:rsidP="00C257F2">
      <w:pPr>
        <w:pStyle w:val="ListParagraph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sectPr w:rsidR="00277F0C" w:rsidRPr="00F5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1A1F"/>
    <w:multiLevelType w:val="hybridMultilevel"/>
    <w:tmpl w:val="E506B404"/>
    <w:lvl w:ilvl="0" w:tplc="E8CA1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00A"/>
    <w:multiLevelType w:val="hybridMultilevel"/>
    <w:tmpl w:val="4A0C2B68"/>
    <w:lvl w:ilvl="0" w:tplc="3F60B3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2729603">
    <w:abstractNumId w:val="0"/>
  </w:num>
  <w:num w:numId="2" w16cid:durableId="75786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77"/>
    <w:rsid w:val="00105EF5"/>
    <w:rsid w:val="001249C8"/>
    <w:rsid w:val="00277F0C"/>
    <w:rsid w:val="002B7211"/>
    <w:rsid w:val="0030520C"/>
    <w:rsid w:val="003871D5"/>
    <w:rsid w:val="00450CC7"/>
    <w:rsid w:val="00493462"/>
    <w:rsid w:val="004D39E8"/>
    <w:rsid w:val="0053070B"/>
    <w:rsid w:val="006167AA"/>
    <w:rsid w:val="006A529D"/>
    <w:rsid w:val="00736D83"/>
    <w:rsid w:val="00780C13"/>
    <w:rsid w:val="00843CAE"/>
    <w:rsid w:val="008608E3"/>
    <w:rsid w:val="00864FD0"/>
    <w:rsid w:val="00984A3C"/>
    <w:rsid w:val="009C0107"/>
    <w:rsid w:val="009D1B17"/>
    <w:rsid w:val="00A77695"/>
    <w:rsid w:val="00A840DD"/>
    <w:rsid w:val="00A84767"/>
    <w:rsid w:val="00AB391F"/>
    <w:rsid w:val="00B42076"/>
    <w:rsid w:val="00C257F2"/>
    <w:rsid w:val="00C65E1B"/>
    <w:rsid w:val="00CC2BA4"/>
    <w:rsid w:val="00CC45C3"/>
    <w:rsid w:val="00D2626E"/>
    <w:rsid w:val="00D54777"/>
    <w:rsid w:val="00D83678"/>
    <w:rsid w:val="00D8629B"/>
    <w:rsid w:val="00DD12E1"/>
    <w:rsid w:val="00E95AC8"/>
    <w:rsid w:val="00F5641C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0166"/>
  <w15:chartTrackingRefBased/>
  <w15:docId w15:val="{17714DC9-DF7A-4098-BD1C-BD82A61D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477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5477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5477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5604-4459-4EF1-9BAC-99B58C01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Ross Mattke</cp:lastModifiedBy>
  <cp:revision>7</cp:revision>
  <dcterms:created xsi:type="dcterms:W3CDTF">2021-08-10T15:02:00Z</dcterms:created>
  <dcterms:modified xsi:type="dcterms:W3CDTF">2023-02-17T17:37:00Z</dcterms:modified>
</cp:coreProperties>
</file>