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F51B" w14:textId="6BC4F2FA" w:rsidR="005D5760" w:rsidRDefault="005D5760" w:rsidP="005D5760">
      <w:pPr>
        <w:pStyle w:val="Heading3"/>
        <w:rPr>
          <w:rFonts w:cs="Calibri"/>
          <w:u w:val="single"/>
        </w:rPr>
      </w:pPr>
      <w:bookmarkStart w:id="0" w:name="_Hlk212641777"/>
      <w:r w:rsidRPr="00CE6C3B">
        <w:rPr>
          <w:rFonts w:cs="Calibri"/>
          <w:u w:val="single"/>
        </w:rPr>
        <w:t>APPENDIX 2.</w:t>
      </w:r>
      <w:r>
        <w:rPr>
          <w:rFonts w:cs="Calibri"/>
          <w:u w:val="single"/>
        </w:rPr>
        <w:t xml:space="preserve"> – LPS REQUEST for industrial action 17-3</w:t>
      </w:r>
      <w:r w:rsidR="00C56D53">
        <w:rPr>
          <w:rFonts w:cs="Calibri"/>
          <w:u w:val="single"/>
        </w:rPr>
        <w:t>0</w:t>
      </w:r>
      <w:r>
        <w:rPr>
          <w:rFonts w:cs="Calibri"/>
          <w:u w:val="single"/>
        </w:rPr>
        <w:t xml:space="preserve"> November 2025  </w:t>
      </w:r>
    </w:p>
    <w:p w14:paraId="1ACF2E95" w14:textId="2E5F6395" w:rsidR="005D5760" w:rsidRPr="001447F5" w:rsidRDefault="005D5760" w:rsidP="001447F5">
      <w:pPr>
        <w:spacing w:after="120" w:line="240" w:lineRule="auto"/>
        <w:ind w:left="720"/>
        <w:rPr>
          <w:sz w:val="24"/>
          <w:szCs w:val="24"/>
        </w:rPr>
      </w:pPr>
      <w:r w:rsidRPr="00CE6C3B">
        <w:rPr>
          <w:sz w:val="24"/>
          <w:szCs w:val="24"/>
        </w:rPr>
        <w:t xml:space="preserve">LPS Requirements </w:t>
      </w:r>
      <w:r>
        <w:rPr>
          <w:sz w:val="24"/>
          <w:szCs w:val="24"/>
        </w:rPr>
        <w:t xml:space="preserve">12.5a, 12.5b and 12.5c – </w:t>
      </w:r>
      <w:r>
        <w:rPr>
          <w:noProof/>
          <w:lang w:eastAsia="en-NZ"/>
        </w:rPr>
        <mc:AlternateContent>
          <mc:Choice Requires="wps">
            <w:drawing>
              <wp:anchor distT="0" distB="0" distL="114300" distR="114300" simplePos="0" relativeHeight="251659264" behindDoc="0" locked="0" layoutInCell="0" allowOverlap="1" wp14:anchorId="3779F7C4" wp14:editId="5D22E727">
                <wp:simplePos x="0" y="0"/>
                <wp:positionH relativeFrom="column">
                  <wp:posOffset>-377190</wp:posOffset>
                </wp:positionH>
                <wp:positionV relativeFrom="paragraph">
                  <wp:posOffset>351155</wp:posOffset>
                </wp:positionV>
                <wp:extent cx="1698822" cy="37021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8822" cy="370218"/>
                        </a:xfrm>
                        <a:prstGeom prst="rect">
                          <a:avLst/>
                        </a:prstGeom>
                        <a:extLst>
                          <a:ext uri="{AF507438-7753-43E0-B8FC-AC1667EBCBE1}">
                            <a14:hiddenEffects xmlns:a14="http://schemas.microsoft.com/office/drawing/2010/main">
                              <a:effectLst/>
                            </a14:hiddenEffects>
                          </a:ext>
                        </a:extLst>
                      </wps:spPr>
                      <wps:txbx>
                        <w:txbxContent>
                          <w:p w14:paraId="62733AC9" w14:textId="77777777" w:rsidR="005D5760" w:rsidRDefault="005D5760" w:rsidP="005D5760">
                            <w:pPr>
                              <w:jc w:val="center"/>
                              <w:rPr>
                                <w:rFonts w:ascii="Arial Black" w:hAnsi="Arial Black"/>
                                <w:color w:val="000000"/>
                                <w:sz w:val="24"/>
                                <w:szCs w:val="24"/>
                                <w14:textOutline w14:w="9525" w14:cap="flat" w14:cmpd="sng" w14:algn="ctr">
                                  <w14:solidFill>
                                    <w14:srgbClr w14:val="000000"/>
                                  </w14:solidFill>
                                  <w14:prstDash w14:val="solid"/>
                                  <w14:round/>
                                </w14:textOutline>
                              </w:rPr>
                            </w:pPr>
                            <w:r>
                              <w:rPr>
                                <w:rFonts w:ascii="Arial Black" w:hAnsi="Arial Black"/>
                                <w:color w:val="000000"/>
                                <w14:textOutline w14:w="9525" w14:cap="flat" w14:cmpd="sng" w14:algn="ctr">
                                  <w14:solidFill>
                                    <w14:srgbClr w14:val="000000"/>
                                  </w14:solidFill>
                                  <w14:prstDash w14:val="solid"/>
                                  <w14:round/>
                                </w14:textOutline>
                              </w:rPr>
                              <w:t xml:space="preserve"> </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3779F7C4" id="_x0000_t202" coordsize="21600,21600" o:spt="202" path="m,l,21600r21600,l21600,xe">
                <v:stroke joinstyle="miter"/>
                <v:path gradientshapeok="t" o:connecttype="rect"/>
              </v:shapetype>
              <v:shape id="Text Box 5" o:spid="_x0000_s1026" type="#_x0000_t202" style="position:absolute;left:0;text-align:left;margin-left:-29.7pt;margin-top:27.65pt;width:133.7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" o:allowincell="f" filled="f" stroked="f">
                <o:lock v:ext="edit" shapetype="t"/>
                <v:textbox>
                  <w:txbxContent>
                    <w:p w14:paraId="62733AC9" w14:textId="77777777" w:rsidR="005D5760" w:rsidRDefault="005D5760" w:rsidP="005D5760">
                      <w:pPr>
                        <w:jc w:val="center"/>
                        <w:rPr>
                          <w:rFonts w:ascii="Arial Black" w:hAnsi="Arial Black"/>
                          <w:color w:val="000000"/>
                          <w:sz w:val="24"/>
                          <w:szCs w:val="24"/>
                          <w14:textOutline w14:w="9525" w14:cap="flat" w14:cmpd="sng" w14:algn="ctr">
                            <w14:solidFill>
                              <w14:srgbClr w14:val="000000"/>
                            </w14:solidFill>
                            <w14:prstDash w14:val="solid"/>
                            <w14:round/>
                          </w14:textOutline>
                        </w:rPr>
                      </w:pPr>
                      <w:r>
                        <w:rPr>
                          <w:rFonts w:ascii="Arial Black" w:hAnsi="Arial Black"/>
                          <w:color w:val="000000"/>
                          <w14:textOutline w14:w="9525" w14:cap="flat" w14:cmpd="sng" w14:algn="ctr">
                            <w14:solidFill>
                              <w14:srgbClr w14:val="000000"/>
                            </w14:solidFill>
                            <w14:prstDash w14:val="solid"/>
                            <w14:round/>
                          </w14:textOutline>
                        </w:rPr>
                        <w:t xml:space="preserve"> </w:t>
                      </w:r>
                    </w:p>
                  </w:txbxContent>
                </v:textbox>
              </v:shape>
            </w:pict>
          </mc:Fallback>
        </mc:AlternateContent>
      </w:r>
    </w:p>
    <w:tbl>
      <w:tblPr>
        <w:tblStyle w:val="TableGrid"/>
        <w:tblW w:w="5000" w:type="pct"/>
        <w:tblLook w:val="0000" w:firstRow="0" w:lastRow="0" w:firstColumn="0" w:lastColumn="0" w:noHBand="0" w:noVBand="0"/>
      </w:tblPr>
      <w:tblGrid>
        <w:gridCol w:w="1430"/>
        <w:gridCol w:w="1555"/>
        <w:gridCol w:w="1558"/>
        <w:gridCol w:w="1406"/>
        <w:gridCol w:w="1960"/>
        <w:gridCol w:w="2860"/>
        <w:gridCol w:w="3791"/>
      </w:tblGrid>
      <w:tr w:rsidR="009D21BD" w:rsidRPr="000869DA" w14:paraId="59273F0E" w14:textId="77777777" w:rsidTr="001A0784">
        <w:trPr>
          <w:trHeight w:val="1740"/>
        </w:trPr>
        <w:tc>
          <w:tcPr>
            <w:tcW w:w="491" w:type="pct"/>
          </w:tcPr>
          <w:p w14:paraId="063A023A" w14:textId="77777777" w:rsidR="005D5760" w:rsidRPr="002D035F" w:rsidRDefault="005D5760" w:rsidP="00FE1ECA">
            <w:pPr>
              <w:pStyle w:val="TableHeader"/>
              <w:jc w:val="left"/>
              <w:rPr>
                <w:b/>
                <w:bCs/>
                <w:color w:val="000000" w:themeColor="text1"/>
                <w:sz w:val="18"/>
                <w:szCs w:val="18"/>
                <w:highlight w:val="lightGray"/>
              </w:rPr>
            </w:pPr>
          </w:p>
        </w:tc>
        <w:tc>
          <w:tcPr>
            <w:tcW w:w="1552" w:type="pct"/>
            <w:gridSpan w:val="3"/>
            <w:shd w:val="clear" w:color="auto" w:fill="D9D9D9" w:themeFill="background1" w:themeFillShade="D9"/>
          </w:tcPr>
          <w:p w14:paraId="193AD7C2" w14:textId="37C4B65D" w:rsidR="005D5760" w:rsidRPr="002D035F" w:rsidRDefault="009D21BD" w:rsidP="00FE1ECA">
            <w:pPr>
              <w:pStyle w:val="TableHeader"/>
              <w:jc w:val="left"/>
              <w:rPr>
                <w:b/>
                <w:bCs/>
                <w:color w:val="000000" w:themeColor="text1"/>
                <w:sz w:val="18"/>
                <w:szCs w:val="18"/>
              </w:rPr>
            </w:pPr>
            <w:r w:rsidRPr="002D035F">
              <w:rPr>
                <w:b/>
                <w:bCs/>
                <w:color w:val="000000" w:themeColor="text1"/>
                <w:sz w:val="18"/>
                <w:szCs w:val="18"/>
              </w:rPr>
              <w:t xml:space="preserve">Taranaki </w:t>
            </w:r>
            <w:r w:rsidR="005D5760" w:rsidRPr="002D035F">
              <w:rPr>
                <w:b/>
                <w:bCs/>
                <w:color w:val="000000" w:themeColor="text1"/>
                <w:sz w:val="18"/>
                <w:szCs w:val="18"/>
              </w:rPr>
              <w:t xml:space="preserve">District – </w:t>
            </w:r>
          </w:p>
          <w:p w14:paraId="0173E7DA" w14:textId="77777777" w:rsidR="005D5760" w:rsidRPr="002D035F" w:rsidRDefault="005D5760" w:rsidP="00FE1ECA">
            <w:pPr>
              <w:pStyle w:val="TableHeader"/>
              <w:jc w:val="left"/>
              <w:rPr>
                <w:b/>
                <w:bCs/>
                <w:color w:val="000000" w:themeColor="text1"/>
                <w:sz w:val="18"/>
                <w:szCs w:val="18"/>
              </w:rPr>
            </w:pPr>
          </w:p>
        </w:tc>
        <w:tc>
          <w:tcPr>
            <w:tcW w:w="673" w:type="pct"/>
            <w:shd w:val="clear" w:color="auto" w:fill="D9D9D9" w:themeFill="background1" w:themeFillShade="D9"/>
          </w:tcPr>
          <w:p w14:paraId="423E5E65" w14:textId="77777777" w:rsidR="005D5760" w:rsidRPr="002D035F" w:rsidRDefault="005D5760" w:rsidP="00FE1ECA">
            <w:pPr>
              <w:pStyle w:val="TableHeader"/>
              <w:jc w:val="left"/>
              <w:rPr>
                <w:b/>
                <w:bCs/>
                <w:color w:val="000000" w:themeColor="text1"/>
                <w:sz w:val="18"/>
                <w:szCs w:val="18"/>
              </w:rPr>
            </w:pPr>
          </w:p>
        </w:tc>
        <w:tc>
          <w:tcPr>
            <w:tcW w:w="982" w:type="pct"/>
          </w:tcPr>
          <w:p w14:paraId="139D629F" w14:textId="77777777" w:rsidR="005D5760" w:rsidRPr="002D035F" w:rsidRDefault="005D5760" w:rsidP="00FE1ECA">
            <w:pPr>
              <w:pStyle w:val="TableHeader"/>
              <w:jc w:val="left"/>
              <w:rPr>
                <w:b/>
                <w:bCs/>
                <w:strike/>
                <w:color w:val="000000" w:themeColor="text1"/>
                <w:sz w:val="18"/>
                <w:szCs w:val="18"/>
              </w:rPr>
            </w:pPr>
          </w:p>
        </w:tc>
        <w:tc>
          <w:tcPr>
            <w:tcW w:w="1302" w:type="pct"/>
            <w:shd w:val="clear" w:color="auto" w:fill="D9D9D9" w:themeFill="background1" w:themeFillShade="D9"/>
          </w:tcPr>
          <w:p w14:paraId="4B765410" w14:textId="0F8244FD" w:rsidR="005D5760" w:rsidRPr="002D035F" w:rsidRDefault="005D5760" w:rsidP="00FE1ECA">
            <w:pPr>
              <w:pStyle w:val="TableHeader"/>
              <w:jc w:val="left"/>
              <w:rPr>
                <w:b/>
                <w:bCs/>
                <w:color w:val="000000" w:themeColor="text1"/>
                <w:sz w:val="18"/>
                <w:szCs w:val="18"/>
              </w:rPr>
            </w:pPr>
            <w:r w:rsidRPr="002D035F">
              <w:rPr>
                <w:b/>
                <w:bCs/>
                <w:color w:val="000000" w:themeColor="text1"/>
                <w:sz w:val="18"/>
                <w:szCs w:val="18"/>
              </w:rPr>
              <w:t>Request Confirmed:</w:t>
            </w:r>
          </w:p>
          <w:p w14:paraId="1583BB90" w14:textId="35C294B1" w:rsidR="005D5760" w:rsidRPr="002D035F" w:rsidRDefault="005D5760" w:rsidP="00FE1ECA">
            <w:pPr>
              <w:pStyle w:val="TableHeader"/>
              <w:jc w:val="left"/>
              <w:rPr>
                <w:b/>
                <w:bCs/>
                <w:color w:val="000000" w:themeColor="text1"/>
                <w:sz w:val="18"/>
                <w:szCs w:val="18"/>
              </w:rPr>
            </w:pPr>
            <w:r w:rsidRPr="002D035F">
              <w:rPr>
                <w:b/>
                <w:bCs/>
                <w:color w:val="000000" w:themeColor="text1"/>
                <w:sz w:val="18"/>
                <w:szCs w:val="18"/>
              </w:rPr>
              <w:t>Name:</w:t>
            </w:r>
            <w:r w:rsidR="002D035F">
              <w:rPr>
                <w:b/>
                <w:bCs/>
                <w:color w:val="000000" w:themeColor="text1"/>
                <w:sz w:val="18"/>
                <w:szCs w:val="18"/>
              </w:rPr>
              <w:t xml:space="preserve"> Cameron Grant-Fargie</w:t>
            </w:r>
          </w:p>
          <w:p w14:paraId="79BF3D4E" w14:textId="5737A757" w:rsidR="005D5760" w:rsidRPr="002D035F" w:rsidRDefault="005D5760" w:rsidP="00FE1ECA">
            <w:pPr>
              <w:pStyle w:val="TableHeader"/>
              <w:jc w:val="left"/>
              <w:rPr>
                <w:b/>
                <w:bCs/>
                <w:color w:val="000000" w:themeColor="text1"/>
                <w:sz w:val="18"/>
                <w:szCs w:val="18"/>
              </w:rPr>
            </w:pPr>
            <w:r w:rsidRPr="002D035F">
              <w:rPr>
                <w:b/>
                <w:bCs/>
                <w:color w:val="000000" w:themeColor="text1"/>
                <w:sz w:val="18"/>
                <w:szCs w:val="18"/>
              </w:rPr>
              <w:t>Date:</w:t>
            </w:r>
            <w:r w:rsidR="002D035F">
              <w:rPr>
                <w:b/>
                <w:bCs/>
                <w:color w:val="000000" w:themeColor="text1"/>
                <w:sz w:val="18"/>
                <w:szCs w:val="18"/>
              </w:rPr>
              <w:t>31.10.25</w:t>
            </w:r>
          </w:p>
          <w:p w14:paraId="389FC9CE" w14:textId="77777777" w:rsidR="005D5760" w:rsidRPr="002D035F" w:rsidRDefault="005D5760" w:rsidP="00FE1ECA">
            <w:pPr>
              <w:pStyle w:val="TableHeader"/>
              <w:jc w:val="left"/>
              <w:rPr>
                <w:b/>
                <w:bCs/>
                <w:color w:val="000000" w:themeColor="text1"/>
                <w:sz w:val="18"/>
                <w:szCs w:val="18"/>
              </w:rPr>
            </w:pPr>
            <w:r w:rsidRPr="002D035F">
              <w:rPr>
                <w:b/>
                <w:bCs/>
                <w:color w:val="000000" w:themeColor="text1"/>
                <w:sz w:val="18"/>
                <w:szCs w:val="18"/>
              </w:rPr>
              <w:t>Signature</w:t>
            </w:r>
          </w:p>
        </w:tc>
      </w:tr>
      <w:tr w:rsidR="00932798" w:rsidRPr="000869DA" w14:paraId="37D8F5BD" w14:textId="77777777" w:rsidTr="001A0784">
        <w:trPr>
          <w:trHeight w:val="1740"/>
        </w:trPr>
        <w:tc>
          <w:tcPr>
            <w:tcW w:w="491" w:type="pct"/>
            <w:shd w:val="clear" w:color="auto" w:fill="D9D9D9" w:themeFill="background1" w:themeFillShade="D9"/>
          </w:tcPr>
          <w:p w14:paraId="51AAEA9B" w14:textId="77777777"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Department / Service</w:t>
            </w:r>
          </w:p>
        </w:tc>
        <w:tc>
          <w:tcPr>
            <w:tcW w:w="534" w:type="pct"/>
            <w:shd w:val="clear" w:color="auto" w:fill="D9D9D9" w:themeFill="background1" w:themeFillShade="D9"/>
          </w:tcPr>
          <w:p w14:paraId="5299BFFB" w14:textId="0C1F5333"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LPS Activity</w:t>
            </w:r>
          </w:p>
        </w:tc>
        <w:tc>
          <w:tcPr>
            <w:tcW w:w="535" w:type="pct"/>
            <w:shd w:val="clear" w:color="auto" w:fill="D9D9D9" w:themeFill="background1" w:themeFillShade="D9"/>
          </w:tcPr>
          <w:p w14:paraId="24F71314" w14:textId="7A7416C0"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Normal average volumes for which LPS being made</w:t>
            </w:r>
          </w:p>
        </w:tc>
        <w:tc>
          <w:tcPr>
            <w:tcW w:w="483" w:type="pct"/>
            <w:shd w:val="clear" w:color="auto" w:fill="D9D9D9" w:themeFill="background1" w:themeFillShade="D9"/>
          </w:tcPr>
          <w:p w14:paraId="35A3A6C8" w14:textId="7ED9696C"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Maximum volumes for which LPS requests likely to be made</w:t>
            </w:r>
          </w:p>
        </w:tc>
        <w:tc>
          <w:tcPr>
            <w:tcW w:w="673" w:type="pct"/>
            <w:shd w:val="clear" w:color="auto" w:fill="D9D9D9" w:themeFill="background1" w:themeFillShade="D9"/>
          </w:tcPr>
          <w:p w14:paraId="6A8D7ECA" w14:textId="5145E96B" w:rsidR="001447F5"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Other clinical staff who will be available on strike day appropriately trained to undertake patient</w:t>
            </w:r>
            <w:r w:rsidR="001447F5" w:rsidRPr="002D035F">
              <w:rPr>
                <w:rFonts w:cs="Calibri"/>
                <w:b/>
                <w:bCs/>
                <w:color w:val="000000" w:themeColor="text1"/>
                <w:sz w:val="20"/>
                <w:szCs w:val="20"/>
              </w:rPr>
              <w:t xml:space="preserve"> </w:t>
            </w:r>
            <w:r w:rsidRPr="002D035F">
              <w:rPr>
                <w:rFonts w:cs="Calibri"/>
                <w:b/>
                <w:bCs/>
                <w:color w:val="000000" w:themeColor="text1"/>
                <w:sz w:val="20"/>
                <w:szCs w:val="20"/>
              </w:rPr>
              <w:t>management/</w:t>
            </w:r>
          </w:p>
          <w:p w14:paraId="0FF42F98" w14:textId="6DF4FCA7"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 xml:space="preserve">support </w:t>
            </w:r>
          </w:p>
        </w:tc>
        <w:tc>
          <w:tcPr>
            <w:tcW w:w="982" w:type="pct"/>
            <w:shd w:val="clear" w:color="auto" w:fill="D9D9D9" w:themeFill="background1" w:themeFillShade="D9"/>
          </w:tcPr>
          <w:p w14:paraId="1C8FAD76" w14:textId="3DB032E1" w:rsidR="005D5760" w:rsidRPr="00C56D53" w:rsidRDefault="001447F5" w:rsidP="001447F5">
            <w:pPr>
              <w:rPr>
                <w:rFonts w:cs="Calibri"/>
                <w:b/>
                <w:bCs/>
                <w:color w:val="000000" w:themeColor="text1"/>
                <w:sz w:val="20"/>
                <w:szCs w:val="20"/>
              </w:rPr>
            </w:pPr>
            <w:r w:rsidRPr="00C56D53">
              <w:rPr>
                <w:rFonts w:cs="Calibri"/>
                <w:b/>
                <w:bCs/>
                <w:color w:val="000000" w:themeColor="text1"/>
                <w:sz w:val="20"/>
                <w:szCs w:val="20"/>
              </w:rPr>
              <w:t>LPS requested</w:t>
            </w:r>
          </w:p>
        </w:tc>
        <w:tc>
          <w:tcPr>
            <w:tcW w:w="1302" w:type="pct"/>
            <w:shd w:val="clear" w:color="auto" w:fill="D9D9D9" w:themeFill="background1" w:themeFillShade="D9"/>
          </w:tcPr>
          <w:p w14:paraId="458806AD" w14:textId="52EBD54B" w:rsidR="005D5760" w:rsidRPr="002D035F" w:rsidRDefault="005D5760" w:rsidP="00FE1ECA">
            <w:pPr>
              <w:pStyle w:val="TableHeader"/>
              <w:jc w:val="left"/>
              <w:rPr>
                <w:rFonts w:cs="Calibri"/>
                <w:b/>
                <w:bCs/>
                <w:color w:val="000000" w:themeColor="text1"/>
                <w:sz w:val="20"/>
                <w:szCs w:val="20"/>
              </w:rPr>
            </w:pPr>
            <w:r w:rsidRPr="002D035F">
              <w:rPr>
                <w:rFonts w:cs="Calibri"/>
                <w:b/>
                <w:bCs/>
                <w:color w:val="000000" w:themeColor="text1"/>
                <w:sz w:val="20"/>
                <w:szCs w:val="20"/>
              </w:rPr>
              <w:t>Reason for LPS request – Contingency Plan and gap unable to be filled. Tasks to be covered</w:t>
            </w:r>
          </w:p>
        </w:tc>
      </w:tr>
      <w:tr w:rsidR="00DC21E2" w:rsidRPr="000869DA" w14:paraId="0F94FA5A" w14:textId="77777777" w:rsidTr="001A0784">
        <w:trPr>
          <w:trHeight w:val="252"/>
        </w:trPr>
        <w:tc>
          <w:tcPr>
            <w:tcW w:w="491" w:type="pct"/>
          </w:tcPr>
          <w:p w14:paraId="1958312C" w14:textId="0384D4BB" w:rsidR="00E27DDE" w:rsidRPr="002D035F" w:rsidRDefault="00E27DDE" w:rsidP="00E27DDE">
            <w:pPr>
              <w:pStyle w:val="TableHeader"/>
              <w:jc w:val="left"/>
              <w:rPr>
                <w:rFonts w:cs="Calibri"/>
                <w:noProof/>
                <w:color w:val="000000" w:themeColor="text1"/>
                <w:sz w:val="20"/>
                <w:szCs w:val="20"/>
                <w:lang w:eastAsia="en-NZ"/>
              </w:rPr>
            </w:pPr>
            <w:r w:rsidRPr="002D035F">
              <w:rPr>
                <w:rFonts w:cs="Calibri"/>
                <w:noProof/>
                <w:color w:val="000000" w:themeColor="text1"/>
                <w:sz w:val="20"/>
                <w:szCs w:val="20"/>
                <w:lang w:eastAsia="en-NZ"/>
              </w:rPr>
              <w:t>Base Hospital and Hawera Hospital</w:t>
            </w:r>
          </w:p>
        </w:tc>
        <w:tc>
          <w:tcPr>
            <w:tcW w:w="534" w:type="pct"/>
          </w:tcPr>
          <w:p w14:paraId="58B85EFD" w14:textId="78453EAD"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Close Care /Patient Watch</w:t>
            </w:r>
          </w:p>
        </w:tc>
        <w:tc>
          <w:tcPr>
            <w:tcW w:w="535" w:type="pct"/>
          </w:tcPr>
          <w:p w14:paraId="676332D5" w14:textId="27BF44E8" w:rsidR="00E27DDE" w:rsidRPr="002D035F" w:rsidRDefault="00E27DDE" w:rsidP="00E27DDE">
            <w:pPr>
              <w:pStyle w:val="TableHeader"/>
              <w:jc w:val="left"/>
              <w:rPr>
                <w:rFonts w:cs="Calibri"/>
                <w:color w:val="000000" w:themeColor="text1"/>
                <w:sz w:val="20"/>
                <w:szCs w:val="20"/>
              </w:rPr>
            </w:pPr>
            <w:proofErr w:type="spellStart"/>
            <w:r w:rsidRPr="00961E39">
              <w:rPr>
                <w:rFonts w:cs="Calibri"/>
                <w:color w:val="000000" w:themeColor="text1"/>
                <w:sz w:val="20"/>
                <w:szCs w:val="20"/>
              </w:rPr>
              <w:t>Trendcare</w:t>
            </w:r>
            <w:proofErr w:type="spellEnd"/>
            <w:r w:rsidRPr="00961E39">
              <w:rPr>
                <w:rFonts w:cs="Calibri"/>
                <w:color w:val="000000" w:themeColor="text1"/>
                <w:sz w:val="20"/>
                <w:szCs w:val="20"/>
              </w:rPr>
              <w:t xml:space="preserve"> shows average of 15 staff used per shift each day</w:t>
            </w:r>
          </w:p>
        </w:tc>
        <w:tc>
          <w:tcPr>
            <w:tcW w:w="483" w:type="pct"/>
          </w:tcPr>
          <w:p w14:paraId="63A20B04" w14:textId="70D371DA"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15 staff per shift</w:t>
            </w:r>
          </w:p>
        </w:tc>
        <w:tc>
          <w:tcPr>
            <w:tcW w:w="673" w:type="pct"/>
          </w:tcPr>
          <w:p w14:paraId="5DFAE2EB" w14:textId="6DFDE6B3"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 xml:space="preserve">Variable </w:t>
            </w:r>
          </w:p>
        </w:tc>
        <w:tc>
          <w:tcPr>
            <w:tcW w:w="982" w:type="pct"/>
          </w:tcPr>
          <w:p w14:paraId="049268D9" w14:textId="77777777" w:rsidR="00E27DDE" w:rsidRPr="002D035F" w:rsidRDefault="00E27DDE" w:rsidP="00E27DDE">
            <w:pPr>
              <w:pStyle w:val="TableHeader"/>
              <w:jc w:val="left"/>
              <w:rPr>
                <w:rFonts w:cs="Calibri"/>
                <w:color w:val="000000" w:themeColor="text1"/>
                <w:sz w:val="20"/>
                <w:szCs w:val="20"/>
              </w:rPr>
            </w:pPr>
          </w:p>
          <w:p w14:paraId="09E41465" w14:textId="241F4C92"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 xml:space="preserve">1 HCA per cohort or single close care to follow the patient in their hospital journey. </w:t>
            </w:r>
          </w:p>
        </w:tc>
        <w:tc>
          <w:tcPr>
            <w:tcW w:w="1302" w:type="pct"/>
          </w:tcPr>
          <w:p w14:paraId="64638D5A" w14:textId="6A8D5CC7" w:rsidR="00E27DDE" w:rsidRPr="002D035F" w:rsidRDefault="00E27DDE" w:rsidP="002D035F">
            <w:pPr>
              <w:pStyle w:val="TableHeader"/>
              <w:jc w:val="left"/>
              <w:rPr>
                <w:rFonts w:cs="Calibri"/>
                <w:color w:val="000000" w:themeColor="text1"/>
                <w:sz w:val="20"/>
                <w:szCs w:val="20"/>
              </w:rPr>
            </w:pPr>
            <w:r w:rsidRPr="6AC43B41">
              <w:rPr>
                <w:rFonts w:cs="Calibri"/>
                <w:color w:val="000000" w:themeColor="text1"/>
                <w:sz w:val="20"/>
                <w:szCs w:val="20"/>
              </w:rPr>
              <w:t>Allocation for patient observation and engagement for close cares is critical as these patients have the potential to harm themselves or be exposed to harm if they are left.</w:t>
            </w:r>
          </w:p>
          <w:p w14:paraId="42369086" w14:textId="13C0CB88" w:rsidR="00E27DDE" w:rsidRPr="002D035F" w:rsidRDefault="00E27DDE" w:rsidP="002D035F">
            <w:pPr>
              <w:pStyle w:val="TableHeader"/>
              <w:jc w:val="left"/>
              <w:rPr>
                <w:rFonts w:cs="Calibri"/>
                <w:color w:val="000000" w:themeColor="text1"/>
                <w:sz w:val="20"/>
                <w:szCs w:val="20"/>
              </w:rPr>
            </w:pPr>
            <w:r w:rsidRPr="6AC43B41">
              <w:rPr>
                <w:rFonts w:cs="Calibri"/>
                <w:color w:val="000000" w:themeColor="text1"/>
                <w:sz w:val="20"/>
                <w:szCs w:val="20"/>
              </w:rPr>
              <w:t>The patient group is vulnerable and subtle signs are important. Suitably trained and experienced staff are required to ensure patient safety is maintained</w:t>
            </w:r>
            <w:r w:rsidR="5C24B370" w:rsidRPr="6AC43B41">
              <w:rPr>
                <w:rFonts w:cs="Calibri"/>
                <w:color w:val="000000" w:themeColor="text1"/>
                <w:sz w:val="20"/>
                <w:szCs w:val="20"/>
              </w:rPr>
              <w:t xml:space="preserve"> and prevention of permanent disability and harm</w:t>
            </w:r>
            <w:r w:rsidRPr="6AC43B41">
              <w:rPr>
                <w:rFonts w:cs="Calibri"/>
                <w:color w:val="000000" w:themeColor="text1"/>
                <w:sz w:val="20"/>
                <w:szCs w:val="20"/>
              </w:rPr>
              <w:t>. It cannot be predicted that this volume would reduce</w:t>
            </w:r>
          </w:p>
        </w:tc>
      </w:tr>
      <w:tr w:rsidR="00207C98" w:rsidRPr="000869DA" w14:paraId="21D451A5" w14:textId="77777777" w:rsidTr="001A0784">
        <w:trPr>
          <w:trHeight w:val="252"/>
        </w:trPr>
        <w:tc>
          <w:tcPr>
            <w:tcW w:w="491" w:type="pct"/>
          </w:tcPr>
          <w:p w14:paraId="5C5950D7" w14:textId="1BE09B30" w:rsidR="00207C98" w:rsidRPr="002D035F" w:rsidRDefault="00207C98" w:rsidP="00E27DDE">
            <w:pPr>
              <w:pStyle w:val="TableHeader"/>
              <w:jc w:val="left"/>
              <w:rPr>
                <w:rFonts w:cs="Calibri"/>
                <w:noProof/>
                <w:color w:val="000000" w:themeColor="text1"/>
                <w:sz w:val="20"/>
                <w:szCs w:val="20"/>
                <w:lang w:eastAsia="en-NZ"/>
              </w:rPr>
            </w:pPr>
            <w:r w:rsidRPr="002D035F">
              <w:rPr>
                <w:rFonts w:cs="Calibri"/>
                <w:noProof/>
                <w:color w:val="000000" w:themeColor="text1"/>
                <w:sz w:val="20"/>
                <w:szCs w:val="20"/>
                <w:lang w:eastAsia="en-NZ"/>
              </w:rPr>
              <w:lastRenderedPageBreak/>
              <w:t>Base/Hawera Hospital</w:t>
            </w:r>
          </w:p>
        </w:tc>
        <w:tc>
          <w:tcPr>
            <w:tcW w:w="534" w:type="pct"/>
          </w:tcPr>
          <w:p w14:paraId="697F1E7F" w14:textId="1454496D" w:rsidR="00207C98" w:rsidRPr="002D035F" w:rsidRDefault="00207C98" w:rsidP="00E27DDE">
            <w:pPr>
              <w:pStyle w:val="TableHeader"/>
              <w:jc w:val="left"/>
              <w:rPr>
                <w:rFonts w:cs="Calibri"/>
                <w:color w:val="000000" w:themeColor="text1"/>
                <w:sz w:val="20"/>
                <w:szCs w:val="20"/>
              </w:rPr>
            </w:pPr>
            <w:r w:rsidRPr="6AC43B41">
              <w:rPr>
                <w:rFonts w:cs="Calibri"/>
                <w:color w:val="000000" w:themeColor="text1"/>
                <w:sz w:val="20"/>
                <w:szCs w:val="20"/>
              </w:rPr>
              <w:t>Response to unexpected event which include diagnostic equipment</w:t>
            </w:r>
            <w:r w:rsidR="5EE398EF" w:rsidRPr="6AC43B41">
              <w:rPr>
                <w:rFonts w:cs="Calibri"/>
                <w:color w:val="000000" w:themeColor="text1"/>
                <w:sz w:val="20"/>
                <w:szCs w:val="20"/>
              </w:rPr>
              <w:t xml:space="preserve"> and facilities</w:t>
            </w:r>
            <w:r w:rsidRPr="6AC43B41">
              <w:rPr>
                <w:rFonts w:cs="Calibri"/>
                <w:color w:val="000000" w:themeColor="text1"/>
                <w:sz w:val="20"/>
                <w:szCs w:val="20"/>
              </w:rPr>
              <w:t xml:space="preserve"> failure</w:t>
            </w:r>
            <w:r w:rsidR="75CBB100" w:rsidRPr="6AC43B41">
              <w:rPr>
                <w:rFonts w:cs="Calibri"/>
                <w:color w:val="000000" w:themeColor="text1"/>
                <w:sz w:val="20"/>
                <w:szCs w:val="20"/>
              </w:rPr>
              <w:t>s</w:t>
            </w:r>
            <w:r w:rsidRPr="6AC43B41">
              <w:rPr>
                <w:rFonts w:cs="Calibri"/>
                <w:color w:val="000000" w:themeColor="text1"/>
                <w:sz w:val="20"/>
                <w:szCs w:val="20"/>
              </w:rPr>
              <w:t xml:space="preserve"> or outbreak of infectious disease.</w:t>
            </w:r>
          </w:p>
        </w:tc>
        <w:tc>
          <w:tcPr>
            <w:tcW w:w="535" w:type="pct"/>
          </w:tcPr>
          <w:p w14:paraId="4CC1D889" w14:textId="1DEC96B8" w:rsidR="00207C98" w:rsidRPr="002D035F" w:rsidRDefault="00207C98" w:rsidP="00E27DDE">
            <w:pPr>
              <w:pStyle w:val="TableHeader"/>
              <w:jc w:val="left"/>
              <w:rPr>
                <w:rFonts w:cs="Calibri"/>
                <w:color w:val="000000" w:themeColor="text1"/>
                <w:sz w:val="20"/>
                <w:szCs w:val="20"/>
              </w:rPr>
            </w:pPr>
            <w:r w:rsidRPr="002D035F">
              <w:rPr>
                <w:rFonts w:cs="Calibri"/>
                <w:color w:val="000000" w:themeColor="text1"/>
                <w:sz w:val="20"/>
                <w:szCs w:val="20"/>
              </w:rPr>
              <w:t>Unpredictable numbers</w:t>
            </w:r>
          </w:p>
        </w:tc>
        <w:tc>
          <w:tcPr>
            <w:tcW w:w="483" w:type="pct"/>
          </w:tcPr>
          <w:p w14:paraId="439CD6E9" w14:textId="06CF2D44" w:rsidR="00207C98" w:rsidRPr="002D035F" w:rsidRDefault="00207C98" w:rsidP="00E27DDE">
            <w:pPr>
              <w:pStyle w:val="TableHeader"/>
              <w:jc w:val="left"/>
              <w:rPr>
                <w:rFonts w:cs="Calibri"/>
                <w:color w:val="000000" w:themeColor="text1"/>
                <w:sz w:val="20"/>
                <w:szCs w:val="20"/>
              </w:rPr>
            </w:pPr>
            <w:r w:rsidRPr="002D035F">
              <w:rPr>
                <w:rFonts w:cs="Calibri"/>
                <w:color w:val="000000" w:themeColor="text1"/>
                <w:sz w:val="20"/>
                <w:szCs w:val="20"/>
              </w:rPr>
              <w:t>Unpredictable numbers</w:t>
            </w:r>
          </w:p>
        </w:tc>
        <w:tc>
          <w:tcPr>
            <w:tcW w:w="673" w:type="pct"/>
          </w:tcPr>
          <w:p w14:paraId="72ED8BFF" w14:textId="77777777" w:rsidR="00207C98" w:rsidRPr="002D035F" w:rsidRDefault="00207C98" w:rsidP="00E27DDE">
            <w:pPr>
              <w:pStyle w:val="TableHeader"/>
              <w:jc w:val="left"/>
              <w:rPr>
                <w:rFonts w:cs="Calibri"/>
                <w:color w:val="000000" w:themeColor="text1"/>
                <w:sz w:val="20"/>
                <w:szCs w:val="20"/>
              </w:rPr>
            </w:pPr>
          </w:p>
        </w:tc>
        <w:tc>
          <w:tcPr>
            <w:tcW w:w="982" w:type="pct"/>
          </w:tcPr>
          <w:p w14:paraId="2712DB06" w14:textId="77777777" w:rsidR="00207C98" w:rsidRPr="002D035F" w:rsidRDefault="00207C98" w:rsidP="00E27DDE">
            <w:pPr>
              <w:pStyle w:val="TableHeader"/>
              <w:jc w:val="left"/>
              <w:rPr>
                <w:rFonts w:cs="Calibri"/>
                <w:color w:val="000000" w:themeColor="text1"/>
                <w:sz w:val="20"/>
                <w:szCs w:val="20"/>
              </w:rPr>
            </w:pPr>
            <w:r w:rsidRPr="002D035F">
              <w:rPr>
                <w:rFonts w:cs="Calibri"/>
                <w:color w:val="000000" w:themeColor="text1"/>
                <w:sz w:val="20"/>
                <w:szCs w:val="20"/>
              </w:rPr>
              <w:t>Redeployment of staff to transfer patients to external diagnostic provider.</w:t>
            </w:r>
          </w:p>
          <w:p w14:paraId="1E20B04C" w14:textId="6C367B9C" w:rsidR="00207C98" w:rsidRPr="002D035F" w:rsidRDefault="00207C98" w:rsidP="00E27DDE">
            <w:pPr>
              <w:pStyle w:val="TableHeader"/>
              <w:jc w:val="left"/>
              <w:rPr>
                <w:rFonts w:cs="Calibri"/>
                <w:color w:val="000000" w:themeColor="text1"/>
                <w:sz w:val="20"/>
                <w:szCs w:val="20"/>
              </w:rPr>
            </w:pPr>
            <w:r w:rsidRPr="002D035F">
              <w:rPr>
                <w:rFonts w:cs="Calibri"/>
                <w:color w:val="000000" w:themeColor="text1"/>
                <w:sz w:val="20"/>
                <w:szCs w:val="20"/>
              </w:rPr>
              <w:t>Deployment of RNs and HCAs to support outbreak of infectious disease in a hospital unit.</w:t>
            </w:r>
          </w:p>
        </w:tc>
        <w:tc>
          <w:tcPr>
            <w:tcW w:w="1302" w:type="pct"/>
          </w:tcPr>
          <w:p w14:paraId="7E59561E" w14:textId="77777777" w:rsidR="00207C98" w:rsidRPr="002D035F" w:rsidRDefault="00DC21E2" w:rsidP="002D035F">
            <w:pPr>
              <w:pStyle w:val="TableHeader"/>
              <w:jc w:val="left"/>
              <w:rPr>
                <w:rFonts w:cs="Calibri"/>
                <w:color w:val="000000" w:themeColor="text1"/>
                <w:sz w:val="20"/>
                <w:szCs w:val="20"/>
              </w:rPr>
            </w:pPr>
            <w:r w:rsidRPr="002D035F">
              <w:rPr>
                <w:rFonts w:cs="Calibri"/>
                <w:color w:val="000000" w:themeColor="text1"/>
                <w:sz w:val="20"/>
                <w:szCs w:val="20"/>
              </w:rPr>
              <w:t>This request is to these specific events are responded to for the protection of patients in the units or enroute to diagnostic services.</w:t>
            </w:r>
          </w:p>
          <w:p w14:paraId="655D066C" w14:textId="5E73C2D5" w:rsidR="00DC21E2" w:rsidRPr="002D035F" w:rsidRDefault="00DC21E2" w:rsidP="002D035F">
            <w:pPr>
              <w:pStyle w:val="TableHeader"/>
              <w:jc w:val="left"/>
              <w:rPr>
                <w:rFonts w:cs="Calibri"/>
                <w:color w:val="000000" w:themeColor="text1"/>
                <w:sz w:val="20"/>
                <w:szCs w:val="20"/>
              </w:rPr>
            </w:pPr>
            <w:r w:rsidRPr="6AC43B41">
              <w:rPr>
                <w:rFonts w:cs="Calibri"/>
                <w:color w:val="000000" w:themeColor="text1"/>
                <w:sz w:val="20"/>
                <w:szCs w:val="20"/>
              </w:rPr>
              <w:t xml:space="preserve">There is additional burden of infection control practices in the event of infectious disease </w:t>
            </w:r>
            <w:r w:rsidR="002D035F" w:rsidRPr="6AC43B41">
              <w:rPr>
                <w:rFonts w:cs="Calibri"/>
                <w:color w:val="000000" w:themeColor="text1"/>
                <w:sz w:val="20"/>
                <w:szCs w:val="20"/>
              </w:rPr>
              <w:t>outbreak</w:t>
            </w:r>
            <w:r w:rsidRPr="6AC43B41">
              <w:rPr>
                <w:rFonts w:cs="Calibri"/>
                <w:color w:val="000000" w:themeColor="text1"/>
                <w:sz w:val="20"/>
                <w:szCs w:val="20"/>
              </w:rPr>
              <w:t xml:space="preserve"> (e.g. measle)</w:t>
            </w:r>
            <w:r w:rsidR="3BC13661" w:rsidRPr="6AC43B41">
              <w:rPr>
                <w:rFonts w:cs="Calibri"/>
                <w:color w:val="000000" w:themeColor="text1"/>
                <w:sz w:val="20"/>
                <w:szCs w:val="20"/>
              </w:rPr>
              <w:t xml:space="preserve"> or excessive isolation requirements</w:t>
            </w:r>
            <w:r w:rsidRPr="6AC43B41">
              <w:rPr>
                <w:rFonts w:cs="Calibri"/>
                <w:color w:val="000000" w:themeColor="text1"/>
                <w:sz w:val="20"/>
                <w:szCs w:val="20"/>
              </w:rPr>
              <w:t xml:space="preserve">.  This is to ensure staff are </w:t>
            </w:r>
            <w:r w:rsidR="002D035F" w:rsidRPr="6AC43B41">
              <w:rPr>
                <w:rFonts w:cs="Calibri"/>
                <w:color w:val="000000" w:themeColor="text1"/>
                <w:sz w:val="20"/>
                <w:szCs w:val="20"/>
              </w:rPr>
              <w:t>supported</w:t>
            </w:r>
            <w:r w:rsidRPr="6AC43B41">
              <w:rPr>
                <w:rFonts w:cs="Calibri"/>
                <w:color w:val="000000" w:themeColor="text1"/>
                <w:sz w:val="20"/>
                <w:szCs w:val="20"/>
              </w:rPr>
              <w:t xml:space="preserve"> to enact best practice.</w:t>
            </w:r>
          </w:p>
          <w:p w14:paraId="6718146C" w14:textId="44457849" w:rsidR="00DC21E2" w:rsidRPr="002D035F" w:rsidRDefault="00DC21E2" w:rsidP="002D035F">
            <w:pPr>
              <w:pStyle w:val="TableHeader"/>
              <w:jc w:val="left"/>
              <w:rPr>
                <w:rFonts w:cs="Calibri"/>
                <w:color w:val="000000" w:themeColor="text1"/>
                <w:sz w:val="20"/>
                <w:szCs w:val="20"/>
              </w:rPr>
            </w:pPr>
          </w:p>
        </w:tc>
      </w:tr>
      <w:tr w:rsidR="00DC21E2" w:rsidRPr="000869DA" w14:paraId="3B458784" w14:textId="77777777" w:rsidTr="001A0784">
        <w:trPr>
          <w:trHeight w:val="252"/>
        </w:trPr>
        <w:tc>
          <w:tcPr>
            <w:tcW w:w="491" w:type="pct"/>
          </w:tcPr>
          <w:p w14:paraId="1B910E32" w14:textId="3CC88D18" w:rsidR="00E27DDE" w:rsidRPr="002D035F" w:rsidRDefault="00E27DDE" w:rsidP="00E27DDE">
            <w:pPr>
              <w:pStyle w:val="TableHeader"/>
              <w:jc w:val="left"/>
              <w:rPr>
                <w:rFonts w:cs="Calibri"/>
                <w:noProof/>
                <w:color w:val="000000" w:themeColor="text1"/>
                <w:sz w:val="20"/>
                <w:szCs w:val="20"/>
                <w:lang w:eastAsia="en-NZ"/>
              </w:rPr>
            </w:pPr>
            <w:r w:rsidRPr="002D035F">
              <w:rPr>
                <w:rFonts w:cs="Calibri"/>
                <w:noProof/>
                <w:color w:val="000000" w:themeColor="text1"/>
                <w:sz w:val="20"/>
                <w:szCs w:val="20"/>
                <w:lang w:eastAsia="en-NZ"/>
              </w:rPr>
              <w:t>Taranaki Base Hospital</w:t>
            </w:r>
          </w:p>
        </w:tc>
        <w:tc>
          <w:tcPr>
            <w:tcW w:w="534" w:type="pct"/>
          </w:tcPr>
          <w:p w14:paraId="26DA66D0" w14:textId="25227BBE"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High dependency patient</w:t>
            </w:r>
            <w:r w:rsidR="00FF274D">
              <w:rPr>
                <w:rFonts w:cs="Calibri"/>
                <w:color w:val="000000" w:themeColor="text1"/>
                <w:sz w:val="20"/>
                <w:szCs w:val="20"/>
              </w:rPr>
              <w:t>s</w:t>
            </w:r>
            <w:r w:rsidRPr="002D035F">
              <w:rPr>
                <w:rFonts w:cs="Calibri"/>
                <w:color w:val="000000" w:themeColor="text1"/>
                <w:sz w:val="20"/>
                <w:szCs w:val="20"/>
              </w:rPr>
              <w:t xml:space="preserve"> or deteriorating </w:t>
            </w:r>
            <w:r w:rsidR="00642700" w:rsidRPr="002D035F">
              <w:rPr>
                <w:rFonts w:cs="Calibri"/>
                <w:color w:val="000000" w:themeColor="text1"/>
                <w:sz w:val="20"/>
                <w:szCs w:val="20"/>
              </w:rPr>
              <w:t>patients</w:t>
            </w:r>
          </w:p>
        </w:tc>
        <w:tc>
          <w:tcPr>
            <w:tcW w:w="535" w:type="pct"/>
          </w:tcPr>
          <w:p w14:paraId="445E043F" w14:textId="6FC33F16" w:rsidR="00E27DDE" w:rsidRPr="00961E39" w:rsidRDefault="00E27DDE" w:rsidP="00E27DDE">
            <w:pPr>
              <w:pStyle w:val="TableHeader"/>
              <w:jc w:val="left"/>
              <w:rPr>
                <w:rFonts w:cs="Calibri"/>
                <w:color w:val="000000" w:themeColor="text1"/>
                <w:sz w:val="20"/>
                <w:szCs w:val="20"/>
              </w:rPr>
            </w:pPr>
            <w:r w:rsidRPr="00961E39">
              <w:rPr>
                <w:rFonts w:cs="Calibri"/>
                <w:color w:val="000000" w:themeColor="text1"/>
                <w:sz w:val="20"/>
                <w:szCs w:val="20"/>
              </w:rPr>
              <w:t>ICU/HDU/CCU average of 15 patients in the unit</w:t>
            </w:r>
          </w:p>
          <w:p w14:paraId="51A152A9" w14:textId="77777777" w:rsidR="00F900B6" w:rsidRPr="00961E39" w:rsidRDefault="00F900B6" w:rsidP="00E27DDE">
            <w:pPr>
              <w:pStyle w:val="TableHeader"/>
              <w:jc w:val="left"/>
              <w:rPr>
                <w:rFonts w:cs="Calibri"/>
                <w:color w:val="000000" w:themeColor="text1"/>
                <w:sz w:val="20"/>
                <w:szCs w:val="20"/>
              </w:rPr>
            </w:pPr>
          </w:p>
          <w:p w14:paraId="23A6FA74" w14:textId="7AFB7AB3" w:rsidR="00F900B6" w:rsidRPr="002D035F" w:rsidRDefault="00F900B6" w:rsidP="00E27DDE">
            <w:pPr>
              <w:pStyle w:val="TableHeader"/>
              <w:jc w:val="left"/>
              <w:rPr>
                <w:rFonts w:cs="Calibri"/>
                <w:color w:val="000000" w:themeColor="text1"/>
                <w:sz w:val="20"/>
                <w:szCs w:val="20"/>
              </w:rPr>
            </w:pPr>
            <w:r w:rsidRPr="00961E39">
              <w:rPr>
                <w:rFonts w:cs="Calibri"/>
                <w:color w:val="000000" w:themeColor="text1"/>
                <w:sz w:val="20"/>
                <w:szCs w:val="20"/>
              </w:rPr>
              <w:t xml:space="preserve">Neonatal </w:t>
            </w:r>
            <w:r w:rsidR="00453500" w:rsidRPr="00961E39">
              <w:rPr>
                <w:rFonts w:cs="Calibri"/>
                <w:color w:val="000000" w:themeColor="text1"/>
                <w:sz w:val="20"/>
                <w:szCs w:val="20"/>
              </w:rPr>
              <w:t>10</w:t>
            </w:r>
            <w:r w:rsidR="003E50E0">
              <w:rPr>
                <w:rFonts w:cs="Calibri"/>
                <w:color w:val="000000" w:themeColor="text1"/>
                <w:sz w:val="20"/>
                <w:szCs w:val="20"/>
              </w:rPr>
              <w:t xml:space="preserve"> baby’s</w:t>
            </w:r>
          </w:p>
        </w:tc>
        <w:tc>
          <w:tcPr>
            <w:tcW w:w="483" w:type="pct"/>
          </w:tcPr>
          <w:p w14:paraId="7235224A" w14:textId="77777777" w:rsidR="00E27DDE"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6 staff per shift</w:t>
            </w:r>
          </w:p>
          <w:p w14:paraId="494013D9" w14:textId="77777777" w:rsidR="003E50E0" w:rsidRDefault="003E50E0" w:rsidP="00E27DDE">
            <w:pPr>
              <w:pStyle w:val="TableHeader"/>
              <w:jc w:val="left"/>
              <w:rPr>
                <w:rFonts w:cs="Calibri"/>
                <w:color w:val="000000" w:themeColor="text1"/>
                <w:sz w:val="20"/>
                <w:szCs w:val="20"/>
              </w:rPr>
            </w:pPr>
          </w:p>
          <w:p w14:paraId="32B84281" w14:textId="77777777" w:rsidR="003E50E0" w:rsidRDefault="003E50E0" w:rsidP="00E27DDE">
            <w:pPr>
              <w:pStyle w:val="TableHeader"/>
              <w:jc w:val="left"/>
              <w:rPr>
                <w:rFonts w:cs="Calibri"/>
                <w:color w:val="000000" w:themeColor="text1"/>
                <w:sz w:val="20"/>
                <w:szCs w:val="20"/>
              </w:rPr>
            </w:pPr>
          </w:p>
          <w:p w14:paraId="57E2F327" w14:textId="72E7EC7A" w:rsidR="003E50E0" w:rsidRPr="002D035F" w:rsidRDefault="003E50E0" w:rsidP="00E27DDE">
            <w:pPr>
              <w:pStyle w:val="TableHeader"/>
              <w:jc w:val="left"/>
              <w:rPr>
                <w:rFonts w:cs="Calibri"/>
                <w:color w:val="000000" w:themeColor="text1"/>
                <w:sz w:val="20"/>
                <w:szCs w:val="20"/>
              </w:rPr>
            </w:pPr>
            <w:r>
              <w:rPr>
                <w:rFonts w:cs="Calibri"/>
                <w:color w:val="000000" w:themeColor="text1"/>
                <w:sz w:val="20"/>
                <w:szCs w:val="20"/>
              </w:rPr>
              <w:t>3-4 RNs.</w:t>
            </w:r>
          </w:p>
        </w:tc>
        <w:tc>
          <w:tcPr>
            <w:tcW w:w="673" w:type="pct"/>
          </w:tcPr>
          <w:p w14:paraId="43DC1A97" w14:textId="77777777"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Variable</w:t>
            </w:r>
          </w:p>
          <w:p w14:paraId="38971628" w14:textId="06ED4C2F" w:rsidR="00E27DDE" w:rsidRPr="002D035F" w:rsidRDefault="00E27DDE" w:rsidP="00E27DDE">
            <w:pPr>
              <w:pStyle w:val="TableHeader"/>
              <w:jc w:val="left"/>
              <w:rPr>
                <w:rFonts w:cs="Calibri"/>
                <w:color w:val="000000" w:themeColor="text1"/>
                <w:sz w:val="20"/>
                <w:szCs w:val="20"/>
              </w:rPr>
            </w:pPr>
          </w:p>
        </w:tc>
        <w:tc>
          <w:tcPr>
            <w:tcW w:w="982" w:type="pct"/>
          </w:tcPr>
          <w:p w14:paraId="198462AB" w14:textId="77777777" w:rsidR="00E27DDE" w:rsidRPr="002D035F" w:rsidRDefault="00E27DDE" w:rsidP="00E27DDE">
            <w:pPr>
              <w:pStyle w:val="TableHeader"/>
              <w:jc w:val="left"/>
              <w:rPr>
                <w:rFonts w:cs="Calibri"/>
                <w:color w:val="000000" w:themeColor="text1"/>
                <w:sz w:val="20"/>
                <w:szCs w:val="20"/>
              </w:rPr>
            </w:pPr>
          </w:p>
          <w:p w14:paraId="0F89ABC5" w14:textId="0DC9DD3E"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After use of all appropriately skilled resources and contingencies in rostered area access to maximum resource with the advanced scope of practice required as per request</w:t>
            </w:r>
            <w:r w:rsidR="00DC21E2" w:rsidRPr="002D035F">
              <w:rPr>
                <w:rFonts w:cs="Calibri"/>
                <w:color w:val="000000" w:themeColor="text1"/>
                <w:sz w:val="20"/>
                <w:szCs w:val="20"/>
              </w:rPr>
              <w:t xml:space="preserve">.  </w:t>
            </w:r>
          </w:p>
          <w:p w14:paraId="77A1776C" w14:textId="77777777" w:rsidR="00DC21E2" w:rsidRPr="002D035F" w:rsidRDefault="00DC21E2" w:rsidP="00E27DDE">
            <w:pPr>
              <w:pStyle w:val="TableHeader"/>
              <w:jc w:val="left"/>
              <w:rPr>
                <w:rFonts w:cs="Calibri"/>
                <w:color w:val="000000" w:themeColor="text1"/>
                <w:sz w:val="20"/>
                <w:szCs w:val="20"/>
              </w:rPr>
            </w:pPr>
          </w:p>
          <w:p w14:paraId="7448C7B0" w14:textId="77777777" w:rsidR="00E27DDE"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Staffing ICU to a 1:1 or 2:1 ratio for maintain expected levels of care</w:t>
            </w:r>
          </w:p>
          <w:p w14:paraId="19997199" w14:textId="77777777" w:rsidR="00B86625" w:rsidRDefault="00B86625" w:rsidP="00E27DDE">
            <w:pPr>
              <w:pStyle w:val="TableHeader"/>
              <w:jc w:val="left"/>
              <w:rPr>
                <w:rFonts w:cs="Calibri"/>
                <w:color w:val="000000" w:themeColor="text1"/>
                <w:sz w:val="20"/>
                <w:szCs w:val="20"/>
              </w:rPr>
            </w:pPr>
          </w:p>
          <w:p w14:paraId="50846346" w14:textId="130A9C74" w:rsidR="002D035F" w:rsidRDefault="00FF274D" w:rsidP="00E27DDE">
            <w:pPr>
              <w:pStyle w:val="TableHeader"/>
              <w:jc w:val="left"/>
              <w:rPr>
                <w:rFonts w:cs="Calibri"/>
                <w:color w:val="000000" w:themeColor="text1"/>
                <w:sz w:val="20"/>
                <w:szCs w:val="20"/>
              </w:rPr>
            </w:pPr>
            <w:r>
              <w:rPr>
                <w:rFonts w:cs="Calibri"/>
                <w:color w:val="000000" w:themeColor="text1"/>
                <w:sz w:val="20"/>
                <w:szCs w:val="20"/>
              </w:rPr>
              <w:t xml:space="preserve">Maintain </w:t>
            </w:r>
            <w:r w:rsidR="00B86625">
              <w:rPr>
                <w:rFonts w:cs="Calibri"/>
                <w:color w:val="000000" w:themeColor="text1"/>
                <w:sz w:val="20"/>
                <w:szCs w:val="20"/>
              </w:rPr>
              <w:t>neonatal emergency responses and outreach support to maternity or theatre.</w:t>
            </w:r>
          </w:p>
          <w:p w14:paraId="7C4F1570" w14:textId="77777777" w:rsidR="00FF274D" w:rsidRDefault="00FF274D" w:rsidP="00E27DDE">
            <w:pPr>
              <w:pStyle w:val="TableHeader"/>
              <w:jc w:val="left"/>
              <w:rPr>
                <w:rFonts w:cs="Calibri"/>
                <w:color w:val="000000" w:themeColor="text1"/>
                <w:sz w:val="20"/>
                <w:szCs w:val="20"/>
              </w:rPr>
            </w:pPr>
          </w:p>
          <w:p w14:paraId="1739C118" w14:textId="51DDEB5C" w:rsidR="002D035F" w:rsidRPr="002D035F" w:rsidRDefault="002D035F" w:rsidP="00E27DDE">
            <w:pPr>
              <w:pStyle w:val="TableHeader"/>
              <w:jc w:val="left"/>
              <w:rPr>
                <w:rFonts w:cs="Calibri"/>
                <w:color w:val="000000" w:themeColor="text1"/>
                <w:sz w:val="20"/>
                <w:szCs w:val="20"/>
              </w:rPr>
            </w:pPr>
            <w:r>
              <w:rPr>
                <w:rFonts w:cs="Calibri"/>
                <w:color w:val="000000" w:themeColor="text1"/>
                <w:sz w:val="20"/>
                <w:szCs w:val="20"/>
              </w:rPr>
              <w:t>Redeployment of experienced paediatric/neonatal nurse to ICU for a baby/child for 1:1 care.</w:t>
            </w:r>
          </w:p>
        </w:tc>
        <w:tc>
          <w:tcPr>
            <w:tcW w:w="1302" w:type="pct"/>
          </w:tcPr>
          <w:p w14:paraId="72785661" w14:textId="6ED3CB60" w:rsidR="00E27DDE" w:rsidRPr="002D035F" w:rsidRDefault="00E27DDE" w:rsidP="002D035F">
            <w:pPr>
              <w:pStyle w:val="TableHeader"/>
              <w:jc w:val="left"/>
              <w:rPr>
                <w:rFonts w:cs="Calibri"/>
                <w:color w:val="000000" w:themeColor="text1"/>
                <w:sz w:val="20"/>
                <w:szCs w:val="20"/>
              </w:rPr>
            </w:pPr>
            <w:r w:rsidRPr="6AC43B41">
              <w:rPr>
                <w:rFonts w:cs="Calibri"/>
                <w:color w:val="000000" w:themeColor="text1"/>
                <w:sz w:val="20"/>
                <w:szCs w:val="20"/>
              </w:rPr>
              <w:t>Highly complex patients that are requiring highly skilled and competent nurses to care for them within their scope or patient</w:t>
            </w:r>
            <w:r w:rsidR="1DE65DB3" w:rsidRPr="6AC43B41">
              <w:rPr>
                <w:rFonts w:cs="Calibri"/>
                <w:color w:val="000000" w:themeColor="text1"/>
                <w:sz w:val="20"/>
                <w:szCs w:val="20"/>
              </w:rPr>
              <w:t>s</w:t>
            </w:r>
            <w:r w:rsidRPr="6AC43B41">
              <w:rPr>
                <w:rFonts w:cs="Calibri"/>
                <w:color w:val="000000" w:themeColor="text1"/>
                <w:sz w:val="20"/>
                <w:szCs w:val="20"/>
              </w:rPr>
              <w:t xml:space="preserve"> who are showing signs of clinical deterioration who once assessed by PAR team and SMOs require increase nursing oversight at a higher level of competence.</w:t>
            </w:r>
          </w:p>
          <w:p w14:paraId="1DB170EA" w14:textId="07677D44" w:rsidR="00E27DDE" w:rsidRPr="002D035F" w:rsidRDefault="00E27DDE" w:rsidP="002D035F">
            <w:pPr>
              <w:pStyle w:val="TableHeader"/>
              <w:jc w:val="left"/>
              <w:rPr>
                <w:rFonts w:cs="Calibri"/>
                <w:color w:val="000000" w:themeColor="text1"/>
                <w:sz w:val="20"/>
                <w:szCs w:val="20"/>
              </w:rPr>
            </w:pPr>
            <w:r w:rsidRPr="6AC43B41">
              <w:rPr>
                <w:rFonts w:cs="Calibri"/>
                <w:color w:val="000000" w:themeColor="text1"/>
                <w:sz w:val="20"/>
                <w:szCs w:val="20"/>
              </w:rPr>
              <w:t>Without this high level of skill these patients are at risk of developing complications</w:t>
            </w:r>
            <w:r w:rsidR="4E19F533" w:rsidRPr="6AC43B41">
              <w:rPr>
                <w:rFonts w:cs="Calibri"/>
                <w:color w:val="000000" w:themeColor="text1"/>
                <w:sz w:val="20"/>
                <w:szCs w:val="20"/>
              </w:rPr>
              <w:t>, avoidable harm, permanent disability, and death</w:t>
            </w:r>
            <w:r w:rsidRPr="6AC43B41">
              <w:rPr>
                <w:rFonts w:cs="Calibri"/>
                <w:color w:val="000000" w:themeColor="text1"/>
                <w:sz w:val="20"/>
                <w:szCs w:val="20"/>
              </w:rPr>
              <w:t xml:space="preserve">. It is necessary to have arrangement </w:t>
            </w:r>
            <w:r w:rsidR="002D035F" w:rsidRPr="6AC43B41">
              <w:rPr>
                <w:rFonts w:cs="Calibri"/>
                <w:color w:val="000000" w:themeColor="text1"/>
                <w:sz w:val="20"/>
                <w:szCs w:val="20"/>
              </w:rPr>
              <w:t>for cover</w:t>
            </w:r>
            <w:r w:rsidRPr="6AC43B41">
              <w:rPr>
                <w:rFonts w:cs="Calibri"/>
                <w:color w:val="000000" w:themeColor="text1"/>
                <w:sz w:val="20"/>
                <w:szCs w:val="20"/>
              </w:rPr>
              <w:t>.</w:t>
            </w:r>
          </w:p>
        </w:tc>
      </w:tr>
      <w:tr w:rsidR="00DC21E2" w:rsidRPr="000869DA" w14:paraId="364E9B57" w14:textId="77777777" w:rsidTr="001A0784">
        <w:trPr>
          <w:trHeight w:val="252"/>
        </w:trPr>
        <w:tc>
          <w:tcPr>
            <w:tcW w:w="491" w:type="pct"/>
          </w:tcPr>
          <w:p w14:paraId="34F653DB" w14:textId="0A0165C0" w:rsidR="00E27DDE" w:rsidRPr="002D035F" w:rsidRDefault="00E27DDE" w:rsidP="00E27DDE">
            <w:pPr>
              <w:pStyle w:val="TableHeader"/>
              <w:jc w:val="left"/>
              <w:rPr>
                <w:rFonts w:cs="Calibri"/>
                <w:noProof/>
                <w:color w:val="000000" w:themeColor="text1"/>
                <w:sz w:val="20"/>
                <w:szCs w:val="20"/>
                <w:lang w:eastAsia="en-NZ"/>
              </w:rPr>
            </w:pPr>
            <w:r w:rsidRPr="002D035F">
              <w:rPr>
                <w:rFonts w:cs="Calibri"/>
                <w:noProof/>
                <w:color w:val="000000" w:themeColor="text1"/>
                <w:sz w:val="20"/>
                <w:szCs w:val="20"/>
                <w:lang w:eastAsia="en-NZ"/>
              </w:rPr>
              <w:lastRenderedPageBreak/>
              <w:t>Taranaki District</w:t>
            </w:r>
          </w:p>
        </w:tc>
        <w:tc>
          <w:tcPr>
            <w:tcW w:w="534" w:type="pct"/>
          </w:tcPr>
          <w:p w14:paraId="68FBC655" w14:textId="46DD4929"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Handover</w:t>
            </w:r>
            <w:r w:rsidR="00DC21E2" w:rsidRPr="002D035F">
              <w:rPr>
                <w:rFonts w:cs="Calibri"/>
                <w:color w:val="000000" w:themeColor="text1"/>
                <w:sz w:val="20"/>
                <w:szCs w:val="20"/>
              </w:rPr>
              <w:t xml:space="preserve"> &amp; case completion</w:t>
            </w:r>
          </w:p>
        </w:tc>
        <w:tc>
          <w:tcPr>
            <w:tcW w:w="535" w:type="pct"/>
          </w:tcPr>
          <w:p w14:paraId="1DF4998D" w14:textId="77777777" w:rsidR="00E27DDE" w:rsidRPr="002D035F" w:rsidRDefault="00E27DDE" w:rsidP="00E27DDE">
            <w:pPr>
              <w:pStyle w:val="TableHeader"/>
              <w:jc w:val="left"/>
              <w:rPr>
                <w:rFonts w:cs="Calibri"/>
                <w:color w:val="000000" w:themeColor="text1"/>
                <w:sz w:val="20"/>
                <w:szCs w:val="20"/>
              </w:rPr>
            </w:pPr>
          </w:p>
        </w:tc>
        <w:tc>
          <w:tcPr>
            <w:tcW w:w="483" w:type="pct"/>
          </w:tcPr>
          <w:p w14:paraId="4BB37490" w14:textId="77777777" w:rsidR="00E27DDE" w:rsidRPr="002D035F" w:rsidRDefault="00E27DDE" w:rsidP="00E27DDE">
            <w:pPr>
              <w:pStyle w:val="TableHeader"/>
              <w:jc w:val="left"/>
              <w:rPr>
                <w:rFonts w:cs="Calibri"/>
                <w:color w:val="000000" w:themeColor="text1"/>
                <w:sz w:val="20"/>
                <w:szCs w:val="20"/>
              </w:rPr>
            </w:pPr>
          </w:p>
        </w:tc>
        <w:tc>
          <w:tcPr>
            <w:tcW w:w="673" w:type="pct"/>
          </w:tcPr>
          <w:p w14:paraId="3E8B96F3" w14:textId="11043F82"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Variable</w:t>
            </w:r>
          </w:p>
        </w:tc>
        <w:tc>
          <w:tcPr>
            <w:tcW w:w="982" w:type="pct"/>
          </w:tcPr>
          <w:p w14:paraId="0C2AAB91" w14:textId="49F4364A"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The staff member with a patient who is not relieved at shift change over remains with the patient until appropriate relief presents for duty or care need completed</w:t>
            </w:r>
          </w:p>
        </w:tc>
        <w:tc>
          <w:tcPr>
            <w:tcW w:w="1302" w:type="pct"/>
          </w:tcPr>
          <w:p w14:paraId="60BFD6B4" w14:textId="1F735D3C"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Clinical Handover is the system by</w:t>
            </w:r>
            <w:r w:rsidR="002D035F">
              <w:rPr>
                <w:rFonts w:cs="Calibri"/>
                <w:color w:val="000000" w:themeColor="text1"/>
                <w:sz w:val="20"/>
                <w:szCs w:val="20"/>
              </w:rPr>
              <w:t xml:space="preserve"> w</w:t>
            </w:r>
            <w:r w:rsidRPr="002D035F">
              <w:rPr>
                <w:rFonts w:cs="Calibri"/>
                <w:color w:val="000000" w:themeColor="text1"/>
                <w:sz w:val="20"/>
                <w:szCs w:val="20"/>
              </w:rPr>
              <w:t>hich responsibility for both immediate and ongoing care is transferred between healthcare professionals. Effective handover is required to maintain patient safety and transfer up to date clinical and patient care information. </w:t>
            </w:r>
          </w:p>
          <w:p w14:paraId="3A9CB293" w14:textId="77777777" w:rsidR="00E27DDE" w:rsidRPr="002D035F" w:rsidRDefault="00E27DDE" w:rsidP="002D035F">
            <w:pPr>
              <w:pStyle w:val="TableHeader"/>
              <w:jc w:val="left"/>
              <w:rPr>
                <w:rFonts w:cs="Calibri"/>
                <w:color w:val="000000" w:themeColor="text1"/>
                <w:sz w:val="20"/>
                <w:szCs w:val="20"/>
              </w:rPr>
            </w:pPr>
          </w:p>
          <w:p w14:paraId="287B7C8F" w14:textId="77777777"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Nurses may be involved in activities at the shift change which cannot be ceased without risk to life or permanent disability. In considering requirements for LPS, such situations cannot be predicted in advance, and this LPS component confirms that nurses will remain in place with the patient until either replaced by a rostered nurse or doctor or other health professional and hand over completed or the clinical situation has ended. Examples of such situations include:</w:t>
            </w:r>
          </w:p>
          <w:p w14:paraId="2466348C" w14:textId="0B42FF9E" w:rsidR="00E27DDE" w:rsidRPr="002D035F" w:rsidRDefault="00E27DDE" w:rsidP="002D035F">
            <w:pPr>
              <w:pStyle w:val="ListParagraph"/>
              <w:numPr>
                <w:ilvl w:val="0"/>
                <w:numId w:val="2"/>
              </w:numPr>
              <w:rPr>
                <w:rFonts w:cs="Calibri"/>
                <w:color w:val="000000" w:themeColor="text1"/>
                <w:sz w:val="20"/>
                <w:szCs w:val="20"/>
              </w:rPr>
            </w:pPr>
            <w:r w:rsidRPr="002D035F">
              <w:rPr>
                <w:rFonts w:cs="Calibri"/>
                <w:color w:val="000000" w:themeColor="text1"/>
                <w:sz w:val="20"/>
                <w:szCs w:val="20"/>
              </w:rPr>
              <w:t>Situations where a union member is in the middle of completing an assessment which cannot safely be stopped or completed by someone else for clinical reasons e.g. acute presentation, mental health restraint, CATT attendance. The staff member completing that assessment will remain.</w:t>
            </w:r>
          </w:p>
          <w:p w14:paraId="7FFA93FB" w14:textId="02403364" w:rsidR="00E27DDE" w:rsidRPr="002D035F" w:rsidRDefault="00DC21E2" w:rsidP="002D035F">
            <w:pPr>
              <w:pStyle w:val="ListParagraph"/>
              <w:numPr>
                <w:ilvl w:val="0"/>
                <w:numId w:val="2"/>
              </w:numPr>
              <w:rPr>
                <w:rFonts w:cs="Calibri"/>
                <w:color w:val="000000" w:themeColor="text1"/>
                <w:sz w:val="20"/>
                <w:szCs w:val="20"/>
              </w:rPr>
            </w:pPr>
            <w:r w:rsidRPr="002D035F">
              <w:rPr>
                <w:rFonts w:cs="Calibri"/>
                <w:color w:val="000000" w:themeColor="text1"/>
                <w:sz w:val="20"/>
                <w:szCs w:val="20"/>
              </w:rPr>
              <w:t>Completion of interhospital transfers by road or air.</w:t>
            </w:r>
          </w:p>
          <w:p w14:paraId="4B0BFC12" w14:textId="07F72C32" w:rsidR="00E27DDE" w:rsidRPr="002D035F" w:rsidRDefault="00E27DDE" w:rsidP="002D035F">
            <w:pPr>
              <w:pStyle w:val="ListParagraph"/>
              <w:numPr>
                <w:ilvl w:val="0"/>
                <w:numId w:val="2"/>
              </w:numPr>
              <w:rPr>
                <w:rFonts w:cs="Calibri"/>
                <w:color w:val="000000" w:themeColor="text1"/>
                <w:sz w:val="20"/>
                <w:szCs w:val="20"/>
              </w:rPr>
            </w:pPr>
            <w:r w:rsidRPr="002D035F">
              <w:rPr>
                <w:rFonts w:cs="Calibri"/>
                <w:color w:val="000000" w:themeColor="text1"/>
                <w:sz w:val="20"/>
                <w:szCs w:val="20"/>
              </w:rPr>
              <w:lastRenderedPageBreak/>
              <w:t>Completion of a procedure where no one else appropriately qualified can be called on or called out. This will include theatre procedures, or diagnostic procedures.</w:t>
            </w:r>
          </w:p>
          <w:p w14:paraId="5C04917F" w14:textId="6F037D34" w:rsidR="00E27DDE" w:rsidRPr="002D035F" w:rsidRDefault="00E27DDE" w:rsidP="002D035F">
            <w:pPr>
              <w:pStyle w:val="ListParagraph"/>
              <w:numPr>
                <w:ilvl w:val="0"/>
                <w:numId w:val="2"/>
              </w:numPr>
              <w:rPr>
                <w:rFonts w:cs="Calibri"/>
                <w:color w:val="000000" w:themeColor="text1"/>
                <w:sz w:val="20"/>
                <w:szCs w:val="20"/>
              </w:rPr>
            </w:pPr>
            <w:r w:rsidRPr="002D035F">
              <w:rPr>
                <w:rFonts w:cs="Calibri"/>
                <w:color w:val="000000" w:themeColor="text1"/>
                <w:sz w:val="20"/>
                <w:szCs w:val="20"/>
              </w:rPr>
              <w:t>Care of a neonate where the patient can't be transferred safely and there are not appropriate staff available to maintain life or prevent disability.</w:t>
            </w:r>
          </w:p>
        </w:tc>
      </w:tr>
      <w:tr w:rsidR="00932798" w:rsidRPr="000869DA" w14:paraId="769FACD0" w14:textId="77777777" w:rsidTr="001A0784">
        <w:trPr>
          <w:trHeight w:val="300"/>
        </w:trPr>
        <w:tc>
          <w:tcPr>
            <w:tcW w:w="491" w:type="pct"/>
          </w:tcPr>
          <w:p w14:paraId="5C54FC1A" w14:textId="0BD4EC11" w:rsidR="00E27DDE" w:rsidRPr="002D035F" w:rsidRDefault="00E27DDE" w:rsidP="00E27DDE">
            <w:pPr>
              <w:pStyle w:val="TableHeader"/>
              <w:jc w:val="left"/>
              <w:rPr>
                <w:rFonts w:cs="Calibri"/>
                <w:noProof/>
                <w:color w:val="000000" w:themeColor="text1"/>
                <w:sz w:val="20"/>
                <w:szCs w:val="20"/>
                <w:highlight w:val="yellow"/>
                <w:lang w:eastAsia="en-NZ"/>
              </w:rPr>
            </w:pPr>
            <w:r w:rsidRPr="6AC43B41">
              <w:rPr>
                <w:rFonts w:cs="Calibri"/>
                <w:noProof/>
                <w:color w:val="000000" w:themeColor="text1"/>
                <w:sz w:val="20"/>
                <w:szCs w:val="20"/>
                <w:lang w:eastAsia="en-NZ"/>
              </w:rPr>
              <w:lastRenderedPageBreak/>
              <w:t>Taranaki District</w:t>
            </w:r>
          </w:p>
        </w:tc>
        <w:tc>
          <w:tcPr>
            <w:tcW w:w="534" w:type="pct"/>
          </w:tcPr>
          <w:p w14:paraId="7108E95B" w14:textId="77777777"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Subspecialty</w:t>
            </w:r>
            <w:r w:rsidR="00DC21E2" w:rsidRPr="002D035F">
              <w:rPr>
                <w:rFonts w:cs="Calibri"/>
                <w:color w:val="000000" w:themeColor="text1"/>
                <w:sz w:val="20"/>
                <w:szCs w:val="20"/>
              </w:rPr>
              <w:t xml:space="preserve"> nursing </w:t>
            </w:r>
            <w:r w:rsidRPr="002D035F">
              <w:rPr>
                <w:rFonts w:cs="Calibri"/>
                <w:color w:val="000000" w:themeColor="text1"/>
                <w:sz w:val="20"/>
                <w:szCs w:val="20"/>
              </w:rPr>
              <w:t>skills</w:t>
            </w:r>
          </w:p>
          <w:p w14:paraId="10BDFDC0" w14:textId="77777777" w:rsidR="00DC21E2" w:rsidRPr="002D035F" w:rsidRDefault="00DC21E2" w:rsidP="00E27DDE">
            <w:pPr>
              <w:pStyle w:val="TableHeader"/>
              <w:jc w:val="left"/>
              <w:rPr>
                <w:rFonts w:cs="Calibri"/>
                <w:color w:val="000000" w:themeColor="text1"/>
                <w:sz w:val="20"/>
                <w:szCs w:val="20"/>
              </w:rPr>
            </w:pPr>
          </w:p>
          <w:p w14:paraId="43584896" w14:textId="4834D75A" w:rsidR="00DC21E2" w:rsidRPr="002D035F" w:rsidRDefault="00DC21E2" w:rsidP="00E27DDE">
            <w:pPr>
              <w:pStyle w:val="TableHeader"/>
              <w:jc w:val="left"/>
              <w:rPr>
                <w:rFonts w:cs="Calibri"/>
                <w:color w:val="000000" w:themeColor="text1"/>
                <w:sz w:val="20"/>
                <w:szCs w:val="20"/>
              </w:rPr>
            </w:pPr>
            <w:r w:rsidRPr="002D035F">
              <w:rPr>
                <w:rFonts w:cs="Calibri"/>
                <w:color w:val="000000" w:themeColor="text1"/>
                <w:sz w:val="20"/>
                <w:szCs w:val="20"/>
              </w:rPr>
              <w:t>Including Renal therapy in 4ab, various CNS services.</w:t>
            </w:r>
          </w:p>
        </w:tc>
        <w:tc>
          <w:tcPr>
            <w:tcW w:w="535" w:type="pct"/>
          </w:tcPr>
          <w:p w14:paraId="2CE585D9" w14:textId="4890C862"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Variable as wide number of specialties and subspecialties</w:t>
            </w:r>
          </w:p>
        </w:tc>
        <w:tc>
          <w:tcPr>
            <w:tcW w:w="483" w:type="pct"/>
          </w:tcPr>
          <w:p w14:paraId="7C4CAA1F" w14:textId="6A862A06"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2-3 per day</w:t>
            </w:r>
          </w:p>
        </w:tc>
        <w:tc>
          <w:tcPr>
            <w:tcW w:w="673" w:type="pct"/>
          </w:tcPr>
          <w:p w14:paraId="242774BA" w14:textId="157E6BE9" w:rsidR="00E27DDE" w:rsidRPr="002D035F" w:rsidRDefault="00E27DDE" w:rsidP="00E27DDE">
            <w:pPr>
              <w:pStyle w:val="TableHeader"/>
              <w:jc w:val="left"/>
              <w:rPr>
                <w:rFonts w:cs="Calibri"/>
                <w:color w:val="000000" w:themeColor="text1"/>
                <w:sz w:val="20"/>
                <w:szCs w:val="20"/>
                <w:highlight w:val="yellow"/>
              </w:rPr>
            </w:pPr>
            <w:r w:rsidRPr="002D035F">
              <w:rPr>
                <w:rFonts w:cs="Calibri"/>
                <w:color w:val="000000" w:themeColor="text1"/>
                <w:sz w:val="20"/>
                <w:szCs w:val="20"/>
              </w:rPr>
              <w:t xml:space="preserve">Variable over </w:t>
            </w:r>
            <w:proofErr w:type="gramStart"/>
            <w:r w:rsidRPr="002D035F">
              <w:rPr>
                <w:rFonts w:cs="Calibri"/>
                <w:color w:val="000000" w:themeColor="text1"/>
                <w:sz w:val="20"/>
                <w:szCs w:val="20"/>
              </w:rPr>
              <w:t>2 week</w:t>
            </w:r>
            <w:proofErr w:type="gramEnd"/>
            <w:r w:rsidRPr="002D035F">
              <w:rPr>
                <w:rFonts w:cs="Calibri"/>
                <w:color w:val="000000" w:themeColor="text1"/>
                <w:sz w:val="20"/>
                <w:szCs w:val="20"/>
              </w:rPr>
              <w:t xml:space="preserve"> period</w:t>
            </w:r>
          </w:p>
        </w:tc>
        <w:tc>
          <w:tcPr>
            <w:tcW w:w="982" w:type="pct"/>
          </w:tcPr>
          <w:p w14:paraId="18B5DB04" w14:textId="14C1E435" w:rsidR="00E27DDE" w:rsidRPr="002D035F" w:rsidRDefault="00E27DDE" w:rsidP="00E27DDE">
            <w:pPr>
              <w:pStyle w:val="TableHeader"/>
              <w:jc w:val="left"/>
              <w:rPr>
                <w:rFonts w:cs="Calibri"/>
                <w:color w:val="000000" w:themeColor="text1"/>
                <w:sz w:val="20"/>
                <w:szCs w:val="20"/>
                <w:highlight w:val="yellow"/>
              </w:rPr>
            </w:pPr>
            <w:r w:rsidRPr="002D035F">
              <w:rPr>
                <w:rFonts w:cs="Calibri"/>
                <w:color w:val="000000" w:themeColor="text1"/>
                <w:sz w:val="20"/>
                <w:szCs w:val="20"/>
              </w:rPr>
              <w:t>After use of all appropriately skilled resources and contingencies in rostered area access to resource with the advanced scope of practice required</w:t>
            </w:r>
          </w:p>
        </w:tc>
        <w:tc>
          <w:tcPr>
            <w:tcW w:w="1302" w:type="pct"/>
          </w:tcPr>
          <w:p w14:paraId="2D01CF96" w14:textId="77777777"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Complex subspecialty patients that are requiring highly skilled and competent subspecialty nurses to care for them within their scope or patient and at a higher level of competence.</w:t>
            </w:r>
          </w:p>
          <w:p w14:paraId="139FDAF5" w14:textId="3985750D"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Without this high level of skill these patients are at risk of developing complications, deterioration and putting life at risk.</w:t>
            </w:r>
          </w:p>
        </w:tc>
      </w:tr>
      <w:tr w:rsidR="00932798" w:rsidRPr="000869DA" w14:paraId="1C6B1D7F" w14:textId="77777777" w:rsidTr="001A0784">
        <w:trPr>
          <w:trHeight w:val="300"/>
        </w:trPr>
        <w:tc>
          <w:tcPr>
            <w:tcW w:w="491" w:type="pct"/>
          </w:tcPr>
          <w:p w14:paraId="5C3966ED" w14:textId="562A0CC0" w:rsidR="00E27DDE" w:rsidRPr="002D035F" w:rsidRDefault="00DC21E2" w:rsidP="00E27DDE">
            <w:pPr>
              <w:pStyle w:val="TableHeader"/>
              <w:jc w:val="left"/>
              <w:rPr>
                <w:rFonts w:cs="Calibri"/>
                <w:noProof/>
                <w:color w:val="000000" w:themeColor="text1"/>
                <w:sz w:val="20"/>
                <w:szCs w:val="20"/>
                <w:lang w:eastAsia="en-NZ"/>
              </w:rPr>
            </w:pPr>
            <w:r w:rsidRPr="6AC43B41">
              <w:rPr>
                <w:rFonts w:cs="Calibri"/>
                <w:noProof/>
                <w:color w:val="000000" w:themeColor="text1"/>
                <w:sz w:val="20"/>
                <w:szCs w:val="20"/>
                <w:lang w:eastAsia="en-NZ"/>
              </w:rPr>
              <w:t xml:space="preserve">Taranaki </w:t>
            </w:r>
            <w:r w:rsidR="00E27DDE" w:rsidRPr="6AC43B41">
              <w:rPr>
                <w:rFonts w:cs="Calibri"/>
                <w:noProof/>
                <w:color w:val="000000" w:themeColor="text1"/>
                <w:sz w:val="20"/>
                <w:szCs w:val="20"/>
                <w:lang w:eastAsia="en-NZ"/>
              </w:rPr>
              <w:t>District</w:t>
            </w:r>
          </w:p>
        </w:tc>
        <w:tc>
          <w:tcPr>
            <w:tcW w:w="534" w:type="pct"/>
          </w:tcPr>
          <w:p w14:paraId="212E712F" w14:textId="0080B6AE"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Extended shift</w:t>
            </w:r>
          </w:p>
        </w:tc>
        <w:tc>
          <w:tcPr>
            <w:tcW w:w="535" w:type="pct"/>
          </w:tcPr>
          <w:p w14:paraId="0DB8DECF" w14:textId="01C31D38"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Unable to confirm numbers linked to LPS</w:t>
            </w:r>
          </w:p>
        </w:tc>
        <w:tc>
          <w:tcPr>
            <w:tcW w:w="483" w:type="pct"/>
          </w:tcPr>
          <w:p w14:paraId="084870A9" w14:textId="27B61252"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unknown</w:t>
            </w:r>
          </w:p>
        </w:tc>
        <w:tc>
          <w:tcPr>
            <w:tcW w:w="673" w:type="pct"/>
          </w:tcPr>
          <w:p w14:paraId="5E16C57B" w14:textId="2C8C9518" w:rsidR="00E27DDE" w:rsidRPr="002D035F" w:rsidRDefault="00E27DDE" w:rsidP="00E27DDE">
            <w:pPr>
              <w:pStyle w:val="TableHeader"/>
              <w:jc w:val="left"/>
              <w:rPr>
                <w:rFonts w:cs="Calibri"/>
                <w:color w:val="000000" w:themeColor="text1"/>
                <w:sz w:val="20"/>
                <w:szCs w:val="20"/>
                <w:highlight w:val="yellow"/>
              </w:rPr>
            </w:pPr>
            <w:r w:rsidRPr="002D035F">
              <w:rPr>
                <w:rFonts w:cs="Calibri"/>
                <w:color w:val="000000" w:themeColor="text1"/>
                <w:sz w:val="20"/>
                <w:szCs w:val="20"/>
              </w:rPr>
              <w:t xml:space="preserve">Variable over </w:t>
            </w:r>
            <w:proofErr w:type="gramStart"/>
            <w:r w:rsidRPr="002D035F">
              <w:rPr>
                <w:rFonts w:cs="Calibri"/>
                <w:color w:val="000000" w:themeColor="text1"/>
                <w:sz w:val="20"/>
                <w:szCs w:val="20"/>
              </w:rPr>
              <w:t>2 week</w:t>
            </w:r>
            <w:proofErr w:type="gramEnd"/>
            <w:r w:rsidRPr="002D035F">
              <w:rPr>
                <w:rFonts w:cs="Calibri"/>
                <w:color w:val="000000" w:themeColor="text1"/>
                <w:sz w:val="20"/>
                <w:szCs w:val="20"/>
              </w:rPr>
              <w:t xml:space="preserve"> period</w:t>
            </w:r>
          </w:p>
        </w:tc>
        <w:tc>
          <w:tcPr>
            <w:tcW w:w="982" w:type="pct"/>
          </w:tcPr>
          <w:p w14:paraId="2AA2E177" w14:textId="4D146D11"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After use of all appropriately skilled resources and contingencies in rostered area access to resource to undertake shift extension</w:t>
            </w:r>
          </w:p>
        </w:tc>
        <w:tc>
          <w:tcPr>
            <w:tcW w:w="1302" w:type="pct"/>
          </w:tcPr>
          <w:p w14:paraId="45B06DA5" w14:textId="4FE8391B"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To maintain level of care required to prevent harm to life and permanent disability</w:t>
            </w:r>
          </w:p>
        </w:tc>
      </w:tr>
      <w:tr w:rsidR="00932798" w:rsidRPr="000869DA" w14:paraId="64762458" w14:textId="77777777" w:rsidTr="001A0784">
        <w:trPr>
          <w:trHeight w:val="300"/>
        </w:trPr>
        <w:tc>
          <w:tcPr>
            <w:tcW w:w="491" w:type="pct"/>
          </w:tcPr>
          <w:p w14:paraId="3F52A5B5" w14:textId="7CC2EF8A" w:rsidR="00E27DDE" w:rsidRPr="002D035F" w:rsidRDefault="00E27DDE" w:rsidP="00E27DDE">
            <w:pPr>
              <w:pStyle w:val="TableHeader"/>
              <w:jc w:val="left"/>
              <w:rPr>
                <w:rFonts w:cs="Calibri"/>
                <w:noProof/>
                <w:color w:val="000000" w:themeColor="text1"/>
                <w:sz w:val="20"/>
                <w:szCs w:val="20"/>
                <w:highlight w:val="yellow"/>
                <w:lang w:eastAsia="en-NZ"/>
              </w:rPr>
            </w:pPr>
            <w:r w:rsidRPr="6AC43B41">
              <w:rPr>
                <w:rFonts w:cs="Calibri"/>
                <w:noProof/>
                <w:color w:val="000000" w:themeColor="text1"/>
                <w:sz w:val="20"/>
                <w:szCs w:val="20"/>
                <w:lang w:eastAsia="en-NZ"/>
              </w:rPr>
              <w:t>Taranaki District</w:t>
            </w:r>
          </w:p>
        </w:tc>
        <w:tc>
          <w:tcPr>
            <w:tcW w:w="534" w:type="pct"/>
          </w:tcPr>
          <w:p w14:paraId="60ABE45F" w14:textId="753F3286"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Ward Coordination</w:t>
            </w:r>
          </w:p>
        </w:tc>
        <w:tc>
          <w:tcPr>
            <w:tcW w:w="535" w:type="pct"/>
          </w:tcPr>
          <w:p w14:paraId="3D6505A0" w14:textId="12A96B85"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One per shift</w:t>
            </w:r>
          </w:p>
        </w:tc>
        <w:tc>
          <w:tcPr>
            <w:tcW w:w="483" w:type="pct"/>
          </w:tcPr>
          <w:p w14:paraId="6795A14A" w14:textId="6D2518C1"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One per shift</w:t>
            </w:r>
          </w:p>
        </w:tc>
        <w:tc>
          <w:tcPr>
            <w:tcW w:w="673" w:type="pct"/>
          </w:tcPr>
          <w:p w14:paraId="72598FBD" w14:textId="4D98F792" w:rsidR="00E27DDE" w:rsidRPr="002D035F" w:rsidRDefault="00DC21E2" w:rsidP="00E27DDE">
            <w:pPr>
              <w:pStyle w:val="TableHeader"/>
              <w:jc w:val="left"/>
              <w:rPr>
                <w:rFonts w:cs="Calibri"/>
                <w:color w:val="000000" w:themeColor="text1"/>
                <w:sz w:val="20"/>
                <w:szCs w:val="20"/>
                <w:highlight w:val="yellow"/>
              </w:rPr>
            </w:pPr>
            <w:r w:rsidRPr="002D035F">
              <w:rPr>
                <w:rFonts w:cs="Calibri"/>
                <w:color w:val="000000" w:themeColor="text1"/>
                <w:sz w:val="20"/>
                <w:szCs w:val="20"/>
              </w:rPr>
              <w:t xml:space="preserve">Variable over </w:t>
            </w:r>
            <w:proofErr w:type="gramStart"/>
            <w:r w:rsidRPr="002D035F">
              <w:rPr>
                <w:rFonts w:cs="Calibri"/>
                <w:color w:val="000000" w:themeColor="text1"/>
                <w:sz w:val="20"/>
                <w:szCs w:val="20"/>
              </w:rPr>
              <w:t>2 week</w:t>
            </w:r>
            <w:proofErr w:type="gramEnd"/>
            <w:r w:rsidRPr="002D035F">
              <w:rPr>
                <w:rFonts w:cs="Calibri"/>
                <w:color w:val="000000" w:themeColor="text1"/>
                <w:sz w:val="20"/>
                <w:szCs w:val="20"/>
              </w:rPr>
              <w:t xml:space="preserve"> period</w:t>
            </w:r>
          </w:p>
        </w:tc>
        <w:tc>
          <w:tcPr>
            <w:tcW w:w="982" w:type="pct"/>
          </w:tcPr>
          <w:p w14:paraId="70EC292A" w14:textId="31F85AE3" w:rsidR="00E27DDE" w:rsidRPr="002D035F" w:rsidRDefault="00E27DDE" w:rsidP="00E27DDE">
            <w:pPr>
              <w:pStyle w:val="TableHeader"/>
              <w:jc w:val="left"/>
              <w:rPr>
                <w:rFonts w:cs="Calibri"/>
                <w:color w:val="000000" w:themeColor="text1"/>
                <w:sz w:val="20"/>
                <w:szCs w:val="20"/>
                <w:highlight w:val="yellow"/>
              </w:rPr>
            </w:pPr>
            <w:r w:rsidRPr="002D035F">
              <w:rPr>
                <w:rFonts w:cs="Calibri"/>
                <w:color w:val="000000" w:themeColor="text1"/>
                <w:sz w:val="20"/>
                <w:szCs w:val="20"/>
              </w:rPr>
              <w:t>After use of all available resources and contingencies in rostered area access to maximum resource as per request</w:t>
            </w:r>
          </w:p>
        </w:tc>
        <w:tc>
          <w:tcPr>
            <w:tcW w:w="1302" w:type="pct"/>
          </w:tcPr>
          <w:p w14:paraId="2EF4127D" w14:textId="42C0CF5C" w:rsidR="00E27DDE" w:rsidRPr="002D035F" w:rsidRDefault="00E27DDE" w:rsidP="002D035F">
            <w:pPr>
              <w:pStyle w:val="TableHeader"/>
              <w:jc w:val="left"/>
              <w:rPr>
                <w:rFonts w:cs="Calibri"/>
                <w:color w:val="000000" w:themeColor="text1"/>
                <w:sz w:val="20"/>
                <w:szCs w:val="20"/>
              </w:rPr>
            </w:pPr>
            <w:r w:rsidRPr="002D035F">
              <w:rPr>
                <w:rFonts w:cs="Calibri"/>
                <w:color w:val="000000" w:themeColor="text1"/>
                <w:sz w:val="20"/>
                <w:szCs w:val="20"/>
              </w:rPr>
              <w:t>Patient safety and early detection of deterioration in patients as well as ensuring nurses assigned to patients have competencies and skills necessary to deliver care.</w:t>
            </w:r>
          </w:p>
        </w:tc>
      </w:tr>
      <w:tr w:rsidR="00E27DDE" w:rsidRPr="000869DA" w14:paraId="133A8ACF" w14:textId="77777777" w:rsidTr="001A0784">
        <w:trPr>
          <w:trHeight w:val="300"/>
        </w:trPr>
        <w:tc>
          <w:tcPr>
            <w:tcW w:w="491" w:type="pct"/>
          </w:tcPr>
          <w:p w14:paraId="47F70789" w14:textId="4C2D21A6" w:rsidR="00E27DDE" w:rsidRPr="002D035F" w:rsidRDefault="00DC21E2" w:rsidP="00E27DDE">
            <w:pPr>
              <w:pStyle w:val="TableHeader"/>
              <w:jc w:val="left"/>
              <w:rPr>
                <w:rFonts w:cs="Calibri"/>
                <w:noProof/>
                <w:color w:val="000000" w:themeColor="text1"/>
                <w:sz w:val="20"/>
                <w:szCs w:val="20"/>
                <w:lang w:eastAsia="en-NZ"/>
              </w:rPr>
            </w:pPr>
            <w:r w:rsidRPr="6AC43B41">
              <w:rPr>
                <w:rFonts w:cs="Calibri"/>
                <w:noProof/>
                <w:color w:val="000000" w:themeColor="text1"/>
                <w:sz w:val="20"/>
                <w:szCs w:val="20"/>
                <w:lang w:eastAsia="en-NZ"/>
              </w:rPr>
              <w:lastRenderedPageBreak/>
              <w:t xml:space="preserve">Taranaki </w:t>
            </w:r>
            <w:r w:rsidR="00E27DDE" w:rsidRPr="6AC43B41">
              <w:rPr>
                <w:rFonts w:cs="Calibri"/>
                <w:noProof/>
                <w:color w:val="000000" w:themeColor="text1"/>
                <w:sz w:val="20"/>
                <w:szCs w:val="20"/>
                <w:lang w:eastAsia="en-NZ"/>
              </w:rPr>
              <w:t>District</w:t>
            </w:r>
          </w:p>
        </w:tc>
        <w:tc>
          <w:tcPr>
            <w:tcW w:w="534" w:type="pct"/>
          </w:tcPr>
          <w:p w14:paraId="6AE8E902" w14:textId="0196398D"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12.5c Emergency Management Protocol</w:t>
            </w:r>
          </w:p>
        </w:tc>
        <w:tc>
          <w:tcPr>
            <w:tcW w:w="1691" w:type="pct"/>
            <w:gridSpan w:val="3"/>
          </w:tcPr>
          <w:p w14:paraId="1BDE70A8" w14:textId="34DB408F" w:rsidR="00E27DDE" w:rsidRPr="002D035F" w:rsidRDefault="00E27DDE" w:rsidP="00E27DDE">
            <w:pPr>
              <w:pStyle w:val="TableHeader"/>
              <w:jc w:val="left"/>
              <w:rPr>
                <w:rFonts w:cs="Calibri"/>
                <w:color w:val="000000" w:themeColor="text1"/>
                <w:sz w:val="20"/>
                <w:szCs w:val="20"/>
              </w:rPr>
            </w:pPr>
            <w:bookmarkStart w:id="1" w:name="_Hlk212719329"/>
            <w:r w:rsidRPr="002D035F">
              <w:rPr>
                <w:rFonts w:cs="Calibri"/>
                <w:color w:val="000000" w:themeColor="text1"/>
                <w:sz w:val="20"/>
                <w:szCs w:val="20"/>
              </w:rPr>
              <w:t xml:space="preserve">Pursuant to clause 12(5)(c) of the Code of good faith for public health sector (the Code), NZNO and Health New Zealand agree that in the case of any emergency or unforeseen event that requires more assistance than that arranged between the parties for the strike, </w:t>
            </w:r>
            <w:r w:rsidRPr="002D035F">
              <w:rPr>
                <w:rFonts w:cs="Calibri"/>
                <w:i/>
                <w:color w:val="000000" w:themeColor="text1"/>
                <w:sz w:val="20"/>
                <w:szCs w:val="20"/>
              </w:rPr>
              <w:t>the Districts can request access to union members at any time in the lead up to and during the period of industrial action in the unlikely event that the circumstances arising during the action exceed the ability of the staff confirmed as available for life preserving services prior to the action. This includes situations such as civil defence emergency or major disaster, escalation in acute demand, virus alert levels or other similar activity, unexpected sickness, unavailability of non-striking staff, or higher than expected occupancy.</w:t>
            </w:r>
            <w:bookmarkEnd w:id="1"/>
          </w:p>
        </w:tc>
        <w:tc>
          <w:tcPr>
            <w:tcW w:w="982" w:type="pct"/>
          </w:tcPr>
          <w:p w14:paraId="3F94B021" w14:textId="1FC37D93"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Access to appropriately qualified and skilled staff as required</w:t>
            </w:r>
          </w:p>
        </w:tc>
        <w:tc>
          <w:tcPr>
            <w:tcW w:w="1302" w:type="pct"/>
          </w:tcPr>
          <w:p w14:paraId="4635A653" w14:textId="77777777" w:rsidR="00E27DDE" w:rsidRPr="002D035F" w:rsidRDefault="00E27DDE" w:rsidP="002D035F">
            <w:pPr>
              <w:pStyle w:val="TableHeader"/>
              <w:jc w:val="left"/>
              <w:rPr>
                <w:rFonts w:cs="Calibri"/>
                <w:color w:val="000000" w:themeColor="text1"/>
                <w:sz w:val="20"/>
                <w:szCs w:val="20"/>
              </w:rPr>
            </w:pPr>
          </w:p>
        </w:tc>
      </w:tr>
      <w:tr w:rsidR="00E27DDE" w:rsidRPr="000869DA" w14:paraId="0A0E3BC4" w14:textId="77777777" w:rsidTr="001A0784">
        <w:trPr>
          <w:trHeight w:val="300"/>
        </w:trPr>
        <w:tc>
          <w:tcPr>
            <w:tcW w:w="491" w:type="pct"/>
          </w:tcPr>
          <w:p w14:paraId="4E1A4B96" w14:textId="56A17115" w:rsidR="00E27DDE" w:rsidRPr="002D035F" w:rsidRDefault="00E27DDE" w:rsidP="00E27DDE">
            <w:pPr>
              <w:pStyle w:val="TableHeader"/>
              <w:jc w:val="left"/>
              <w:rPr>
                <w:rFonts w:cs="Calibri"/>
                <w:noProof/>
                <w:color w:val="000000" w:themeColor="text1"/>
                <w:sz w:val="20"/>
                <w:szCs w:val="20"/>
                <w:lang w:eastAsia="en-NZ"/>
              </w:rPr>
            </w:pPr>
            <w:r w:rsidRPr="6AC43B41">
              <w:rPr>
                <w:rFonts w:cs="Calibri"/>
                <w:noProof/>
                <w:color w:val="000000" w:themeColor="text1"/>
                <w:sz w:val="20"/>
                <w:szCs w:val="20"/>
                <w:lang w:eastAsia="en-NZ"/>
              </w:rPr>
              <w:t>Taranaki District</w:t>
            </w:r>
          </w:p>
        </w:tc>
        <w:tc>
          <w:tcPr>
            <w:tcW w:w="534" w:type="pct"/>
          </w:tcPr>
          <w:p w14:paraId="61D2913B" w14:textId="27590774"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Staff for Health and Safety</w:t>
            </w:r>
          </w:p>
        </w:tc>
        <w:tc>
          <w:tcPr>
            <w:tcW w:w="1691" w:type="pct"/>
            <w:gridSpan w:val="3"/>
          </w:tcPr>
          <w:p w14:paraId="661A792B" w14:textId="2F7EB332" w:rsidR="00E27DDE" w:rsidRPr="002D035F" w:rsidRDefault="00E27DDE" w:rsidP="00E27DDE">
            <w:pPr>
              <w:pStyle w:val="TableHeader"/>
              <w:jc w:val="left"/>
              <w:rPr>
                <w:rFonts w:cs="Calibri"/>
                <w:color w:val="000000" w:themeColor="text1"/>
                <w:sz w:val="20"/>
                <w:szCs w:val="20"/>
              </w:rPr>
            </w:pPr>
          </w:p>
        </w:tc>
        <w:tc>
          <w:tcPr>
            <w:tcW w:w="982" w:type="pct"/>
          </w:tcPr>
          <w:p w14:paraId="20A766AD" w14:textId="58F2BBC4" w:rsidR="00E27DDE" w:rsidRPr="002D035F" w:rsidRDefault="00E27DDE" w:rsidP="00E27DDE">
            <w:pPr>
              <w:pStyle w:val="TableHeader"/>
              <w:jc w:val="left"/>
              <w:rPr>
                <w:rFonts w:cs="Calibri"/>
                <w:color w:val="000000" w:themeColor="text1"/>
                <w:sz w:val="20"/>
                <w:szCs w:val="20"/>
              </w:rPr>
            </w:pPr>
            <w:r w:rsidRPr="002D035F">
              <w:rPr>
                <w:rFonts w:cs="Calibri"/>
                <w:color w:val="000000" w:themeColor="text1"/>
                <w:sz w:val="20"/>
                <w:szCs w:val="20"/>
              </w:rPr>
              <w:t>Access to resource where needed to meet health and safety requirements</w:t>
            </w:r>
          </w:p>
        </w:tc>
        <w:tc>
          <w:tcPr>
            <w:tcW w:w="1302" w:type="pct"/>
          </w:tcPr>
          <w:p w14:paraId="4B3C3D57" w14:textId="505A21AF" w:rsidR="00E27DDE" w:rsidRPr="002D035F" w:rsidRDefault="00E27DDE" w:rsidP="6AC43B41">
            <w:pPr>
              <w:pStyle w:val="TableHeader"/>
              <w:jc w:val="left"/>
              <w:rPr>
                <w:rFonts w:cs="Calibri"/>
                <w:color w:val="000000" w:themeColor="text1"/>
                <w:sz w:val="20"/>
                <w:szCs w:val="20"/>
              </w:rPr>
            </w:pPr>
            <w:r w:rsidRPr="6AC43B41">
              <w:rPr>
                <w:rFonts w:cs="Calibri"/>
                <w:color w:val="000000" w:themeColor="text1"/>
                <w:sz w:val="20"/>
                <w:szCs w:val="20"/>
              </w:rPr>
              <w:t>To uphold health and safety standards, we need to be able to have responsive resourcing, allowing us to adjust staffing levels in real-time to meet fluctuating patient demand and heightened staff risk, especially where the nature of this partial action affects staff mix in any area related to unexpected leave requirements</w:t>
            </w:r>
            <w:r w:rsidR="3D0E4498" w:rsidRPr="6AC43B41">
              <w:rPr>
                <w:rFonts w:cs="Calibri"/>
                <w:color w:val="000000" w:themeColor="text1"/>
                <w:sz w:val="20"/>
                <w:szCs w:val="20"/>
              </w:rPr>
              <w:t>,</w:t>
            </w:r>
            <w:r w:rsidRPr="6AC43B41">
              <w:rPr>
                <w:rFonts w:cs="Calibri"/>
                <w:color w:val="000000" w:themeColor="text1"/>
                <w:sz w:val="20"/>
                <w:szCs w:val="20"/>
              </w:rPr>
              <w:t xml:space="preserve"> personal situational changes</w:t>
            </w:r>
            <w:r w:rsidR="3FD07C4D" w:rsidRPr="6AC43B41">
              <w:rPr>
                <w:rFonts w:cs="Calibri"/>
                <w:color w:val="000000" w:themeColor="text1"/>
                <w:sz w:val="20"/>
                <w:szCs w:val="20"/>
              </w:rPr>
              <w:t>, or evolving situations where we may have an obligation under HWSA.</w:t>
            </w:r>
          </w:p>
          <w:p w14:paraId="610A156F" w14:textId="77777777" w:rsidR="00E27DDE" w:rsidRPr="002D035F" w:rsidRDefault="00E27DDE" w:rsidP="6AC43B41">
            <w:pPr>
              <w:pStyle w:val="TableHeader"/>
              <w:jc w:val="left"/>
              <w:rPr>
                <w:rFonts w:cs="Calibri"/>
                <w:color w:val="000000" w:themeColor="text1"/>
                <w:sz w:val="20"/>
                <w:szCs w:val="20"/>
              </w:rPr>
            </w:pPr>
          </w:p>
          <w:p w14:paraId="5AE53391" w14:textId="77777777" w:rsidR="00E27DDE" w:rsidRPr="002D035F" w:rsidRDefault="00E27DDE" w:rsidP="6AC43B41">
            <w:pPr>
              <w:pStyle w:val="TableHeader"/>
              <w:jc w:val="left"/>
              <w:rPr>
                <w:rFonts w:cs="Calibri"/>
                <w:color w:val="000000" w:themeColor="text1"/>
                <w:sz w:val="20"/>
                <w:szCs w:val="20"/>
              </w:rPr>
            </w:pPr>
            <w:r w:rsidRPr="6AC43B41">
              <w:rPr>
                <w:rFonts w:cs="Calibri"/>
                <w:color w:val="000000" w:themeColor="text1"/>
                <w:sz w:val="20"/>
                <w:szCs w:val="20"/>
              </w:rPr>
              <w:t>All efforts to ensure a safe working environment for staff and safe patient care requires the flexibility to resource to meet the demands for staff as well as patients</w:t>
            </w:r>
          </w:p>
          <w:p w14:paraId="511ABE95" w14:textId="77777777" w:rsidR="00E27DDE" w:rsidRPr="002D035F" w:rsidRDefault="00E27DDE" w:rsidP="00E27DDE">
            <w:pPr>
              <w:pStyle w:val="TableHeader"/>
              <w:jc w:val="left"/>
              <w:rPr>
                <w:rFonts w:cs="Calibri"/>
                <w:color w:val="000000" w:themeColor="text1"/>
                <w:sz w:val="20"/>
                <w:szCs w:val="20"/>
              </w:rPr>
            </w:pPr>
          </w:p>
        </w:tc>
      </w:tr>
    </w:tbl>
    <w:p w14:paraId="680EE3C8" w14:textId="77777777" w:rsidR="005D5760" w:rsidRPr="00207FF5" w:rsidRDefault="005D5760" w:rsidP="005D5760">
      <w:pPr>
        <w:pStyle w:val="BodyText"/>
        <w:spacing w:before="120"/>
        <w:ind w:left="0"/>
      </w:pPr>
      <w:r w:rsidRPr="002C77F6">
        <w:rPr>
          <w:rFonts w:ascii="Calibri" w:hAnsi="Calibri" w:cs="Calibri"/>
          <w:b/>
          <w:bCs/>
          <w:sz w:val="20"/>
          <w:szCs w:val="20"/>
        </w:rPr>
        <w:lastRenderedPageBreak/>
        <w:t>Note:</w:t>
      </w:r>
      <w:r w:rsidRPr="002C77F6">
        <w:rPr>
          <w:rFonts w:ascii="Calibri" w:hAnsi="Calibri" w:cs="Calibri"/>
          <w:sz w:val="20"/>
          <w:szCs w:val="20"/>
        </w:rPr>
        <w:t xml:space="preserve"> Please note that non-union staffing numbers still need to be confirmed</w:t>
      </w:r>
    </w:p>
    <w:p w14:paraId="6BF8BF6A" w14:textId="39FC9BC5" w:rsidR="00753952" w:rsidRPr="004860C4" w:rsidRDefault="005D5760" w:rsidP="004860C4">
      <w:pPr>
        <w:pStyle w:val="Heading3"/>
        <w:rPr>
          <w:b/>
          <w:bCs/>
          <w:sz w:val="20"/>
          <w:szCs w:val="20"/>
        </w:rPr>
      </w:pPr>
      <w:r>
        <w:rPr>
          <w:noProof/>
          <w:lang w:eastAsia="en-NZ"/>
        </w:rPr>
        <mc:AlternateContent>
          <mc:Choice Requires="wps">
            <w:drawing>
              <wp:anchor distT="0" distB="0" distL="114300" distR="114300" simplePos="0" relativeHeight="251660288" behindDoc="0" locked="0" layoutInCell="0" allowOverlap="1" wp14:anchorId="1F0AB1EA" wp14:editId="78582350">
                <wp:simplePos x="0" y="0"/>
                <wp:positionH relativeFrom="column">
                  <wp:posOffset>-232410</wp:posOffset>
                </wp:positionH>
                <wp:positionV relativeFrom="paragraph">
                  <wp:posOffset>-308610</wp:posOffset>
                </wp:positionV>
                <wp:extent cx="1539240" cy="45719"/>
                <wp:effectExtent l="0" t="0" r="0" b="0"/>
                <wp:wrapNone/>
                <wp:docPr id="218475857" name="Text Box 218475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39240" cy="45719"/>
                        </a:xfrm>
                        <a:prstGeom prst="rect">
                          <a:avLst/>
                        </a:prstGeom>
                        <a:extLst>
                          <a:ext uri="{AF507438-7753-43E0-B8FC-AC1667EBCBE1}">
                            <a14:hiddenEffects xmlns:a14="http://schemas.microsoft.com/office/drawing/2010/main">
                              <a:effectLst/>
                            </a14:hiddenEffects>
                          </a:ext>
                        </a:extLst>
                      </wps:spPr>
                      <wps:txbx>
                        <w:txbxContent>
                          <w:p w14:paraId="0381D672" w14:textId="77777777" w:rsidR="005D5760" w:rsidRDefault="005D5760" w:rsidP="005D5760">
                            <w:pPr>
                              <w:jc w:val="center"/>
                              <w:rPr>
                                <w:rFonts w:ascii="Arial Black" w:hAnsi="Arial Black"/>
                                <w:color w:val="000000"/>
                                <w:sz w:val="24"/>
                                <w:szCs w:val="24"/>
                                <w14:textOutline w14:w="9525" w14:cap="flat" w14:cmpd="sng" w14:algn="ctr">
                                  <w14:solidFill>
                                    <w14:srgbClr w14:val="000000"/>
                                  </w14:solidFill>
                                  <w14:prstDash w14:val="solid"/>
                                  <w14:round/>
                                </w14:textOutline>
                              </w:rPr>
                            </w:pP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1F0AB1EA" id="Text Box 218475857" o:spid="_x0000_s1027" type="#_x0000_t202" style="position:absolute;margin-left:-18.3pt;margin-top:-24.3pt;width:121.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" o:allowincell="f" filled="f" stroked="f">
                <o:lock v:ext="edit" shapetype="t"/>
                <v:textbox>
                  <w:txbxContent>
                    <w:p w14:paraId="0381D672" w14:textId="77777777" w:rsidR="005D5760" w:rsidRDefault="005D5760" w:rsidP="005D5760">
                      <w:pPr>
                        <w:jc w:val="center"/>
                        <w:rPr>
                          <w:rFonts w:ascii="Arial Black" w:hAnsi="Arial Black"/>
                          <w:color w:val="000000"/>
                          <w:sz w:val="24"/>
                          <w:szCs w:val="24"/>
                          <w14:textOutline w14:w="9525" w14:cap="flat" w14:cmpd="sng" w14:algn="ctr">
                            <w14:solidFill>
                              <w14:srgbClr w14:val="000000"/>
                            </w14:solidFill>
                            <w14:prstDash w14:val="solid"/>
                            <w14:round/>
                          </w14:textOutline>
                        </w:rPr>
                      </w:pPr>
                    </w:p>
                  </w:txbxContent>
                </v:textbox>
              </v:shape>
            </w:pict>
          </mc:Fallback>
        </mc:AlternateContent>
      </w:r>
      <w:bookmarkEnd w:id="0"/>
    </w:p>
    <w:sectPr w:rsidR="00753952" w:rsidRPr="004860C4" w:rsidSect="005D5760">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84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9729" w14:textId="77777777" w:rsidR="0013364E" w:rsidRDefault="0013364E" w:rsidP="0013364E">
      <w:pPr>
        <w:spacing w:after="0" w:line="240" w:lineRule="auto"/>
      </w:pPr>
      <w:r>
        <w:separator/>
      </w:r>
    </w:p>
  </w:endnote>
  <w:endnote w:type="continuationSeparator" w:id="0">
    <w:p w14:paraId="78DA6106" w14:textId="77777777" w:rsidR="0013364E" w:rsidRDefault="0013364E" w:rsidP="0013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00AC" w14:textId="77777777" w:rsidR="0013364E" w:rsidRDefault="00133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CEC2" w14:textId="77777777" w:rsidR="0013364E" w:rsidRDefault="00133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D1F" w14:textId="77777777" w:rsidR="0013364E" w:rsidRDefault="0013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27F0" w14:textId="77777777" w:rsidR="0013364E" w:rsidRDefault="0013364E" w:rsidP="0013364E">
      <w:pPr>
        <w:spacing w:after="0" w:line="240" w:lineRule="auto"/>
      </w:pPr>
      <w:r>
        <w:separator/>
      </w:r>
    </w:p>
  </w:footnote>
  <w:footnote w:type="continuationSeparator" w:id="0">
    <w:p w14:paraId="1782FD11" w14:textId="77777777" w:rsidR="0013364E" w:rsidRDefault="0013364E" w:rsidP="0013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BBF7" w14:textId="77777777" w:rsidR="0013364E" w:rsidRDefault="0013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6889" w14:textId="7175A72A" w:rsidR="001447F5" w:rsidRDefault="001447F5">
    <w:pPr>
      <w:pStyle w:val="Header"/>
    </w:pPr>
    <w:r w:rsidRPr="008B233F">
      <w:rPr>
        <w:noProof/>
        <w:color w:val="1C2549"/>
      </w:rPr>
      <mc:AlternateContent>
        <mc:Choice Requires="wps">
          <w:drawing>
            <wp:anchor distT="0" distB="0" distL="114300" distR="114300" simplePos="0" relativeHeight="251657728" behindDoc="1" locked="0" layoutInCell="1" allowOverlap="1" wp14:anchorId="529EE7C8" wp14:editId="352EC909">
              <wp:simplePos x="0" y="0"/>
              <wp:positionH relativeFrom="page">
                <wp:posOffset>4853940</wp:posOffset>
              </wp:positionH>
              <wp:positionV relativeFrom="page">
                <wp:posOffset>449580</wp:posOffset>
              </wp:positionV>
              <wp:extent cx="1762579" cy="376283"/>
              <wp:effectExtent l="0" t="0" r="6350" b="5080"/>
              <wp:wrapNone/>
              <wp:docPr id="40135078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1"/>
                        <a:stretch>
                          <a:fillRect/>
                        </a:stretch>
                      </a:blipFill>
                      <a:ln>
                        <a:noFill/>
                      </a:ln>
                    </wps:spPr>
                    <wps:txbx>
                      <w:txbxContent>
                        <w:p w14:paraId="684FB4F0" w14:textId="77777777" w:rsidR="001447F5" w:rsidRDefault="001447F5" w:rsidP="00E83A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EE7C8" id="_x0000_t202" coordsize="21600,21600" o:spt="202" path="m,l,21600r21600,l21600,xe">
              <v:stroke joinstyle="miter"/>
              <v:path gradientshapeok="t" o:connecttype="rect"/>
            </v:shapetype>
            <v:shape id="docshape12" o:spid="_x0000_s1028" type="#_x0000_t202" style="position:absolute;margin-left:382.2pt;margin-top:35.4pt;width:138.8pt;height:2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" stroked="f">
              <v:fill r:id="rId2" o:title="" recolor="t" rotate="t" type="frame"/>
              <v:textbox inset="0,0,0,0">
                <w:txbxContent>
                  <w:p w14:paraId="684FB4F0" w14:textId="77777777" w:rsidR="001447F5" w:rsidRDefault="001447F5" w:rsidP="00E83A39"/>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A447" w14:textId="77777777" w:rsidR="001447F5" w:rsidRDefault="001447F5" w:rsidP="003B3330">
    <w:pPr>
      <w:pStyle w:val="Header"/>
    </w:pPr>
    <w:r w:rsidRPr="008B233F">
      <w:rPr>
        <w:noProof/>
        <w:color w:val="1C2549"/>
      </w:rPr>
      <mc:AlternateContent>
        <mc:Choice Requires="wps">
          <w:drawing>
            <wp:anchor distT="0" distB="0" distL="114300" distR="114300" simplePos="0" relativeHeight="251656704" behindDoc="1" locked="0" layoutInCell="1" allowOverlap="1" wp14:anchorId="5EE32EE4" wp14:editId="4C8ACBC0">
              <wp:simplePos x="0" y="0"/>
              <wp:positionH relativeFrom="page">
                <wp:posOffset>4853940</wp:posOffset>
              </wp:positionH>
              <wp:positionV relativeFrom="page">
                <wp:posOffset>449580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1"/>
                        <a:stretch>
                          <a:fillRect/>
                        </a:stretch>
                      </a:blipFill>
                      <a:ln>
                        <a:noFill/>
                      </a:ln>
                    </wps:spPr>
                    <wps:txbx>
                      <w:txbxContent>
                        <w:p w14:paraId="47B50348" w14:textId="77777777" w:rsidR="001447F5" w:rsidRDefault="001447F5" w:rsidP="003B33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32EE4" id="_x0000_t202" coordsize="21600,21600" o:spt="202" path="m,l,21600r21600,l21600,xe">
              <v:stroke joinstyle="miter"/>
              <v:path gradientshapeok="t" o:connecttype="rect"/>
            </v:shapetype>
            <v:shape id="_x0000_s1029" type="#_x0000_t202" style="position:absolute;margin-left:382.2pt;margin-top:35.4pt;width:138.8pt;height:29.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" stroked="f">
              <v:fill r:id="rId2" o:title="" recolor="t" rotate="t" type="frame"/>
              <v:textbox inset="0,0,0,0">
                <w:txbxContent>
                  <w:p w14:paraId="47B50348" w14:textId="77777777" w:rsidR="001447F5" w:rsidRDefault="001447F5" w:rsidP="003B3330"/>
                </w:txbxContent>
              </v:textbox>
              <w10:wrap anchorx="page" anchory="page"/>
            </v:shape>
          </w:pict>
        </mc:Fallback>
      </mc:AlternateContent>
    </w:r>
  </w:p>
  <w:p w14:paraId="2AA8074B" w14:textId="77777777" w:rsidR="001447F5" w:rsidRDefault="001447F5">
    <w:pPr>
      <w:pStyle w:val="Header"/>
    </w:pPr>
  </w:p>
  <w:p w14:paraId="0B2C9760" w14:textId="77777777" w:rsidR="001447F5" w:rsidRDefault="00144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404C8"/>
    <w:multiLevelType w:val="hybridMultilevel"/>
    <w:tmpl w:val="B9D6E0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7EA1427A"/>
    <w:multiLevelType w:val="hybridMultilevel"/>
    <w:tmpl w:val="2B8640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9615819">
    <w:abstractNumId w:val="0"/>
  </w:num>
  <w:num w:numId="2" w16cid:durableId="84116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60"/>
    <w:rsid w:val="0013364E"/>
    <w:rsid w:val="001447F5"/>
    <w:rsid w:val="00152999"/>
    <w:rsid w:val="001A0784"/>
    <w:rsid w:val="001B1E80"/>
    <w:rsid w:val="001E2CE2"/>
    <w:rsid w:val="00207C98"/>
    <w:rsid w:val="002808D9"/>
    <w:rsid w:val="002B036E"/>
    <w:rsid w:val="002D035F"/>
    <w:rsid w:val="0030377D"/>
    <w:rsid w:val="00322601"/>
    <w:rsid w:val="003D149E"/>
    <w:rsid w:val="003E50E0"/>
    <w:rsid w:val="00453500"/>
    <w:rsid w:val="004860C4"/>
    <w:rsid w:val="004A1B02"/>
    <w:rsid w:val="00544F90"/>
    <w:rsid w:val="005D5760"/>
    <w:rsid w:val="00642700"/>
    <w:rsid w:val="00677DB4"/>
    <w:rsid w:val="00753952"/>
    <w:rsid w:val="00833D7A"/>
    <w:rsid w:val="00932798"/>
    <w:rsid w:val="00961E39"/>
    <w:rsid w:val="009D21BD"/>
    <w:rsid w:val="00A3360B"/>
    <w:rsid w:val="00A73F4C"/>
    <w:rsid w:val="00AB6346"/>
    <w:rsid w:val="00AC313D"/>
    <w:rsid w:val="00AD37EF"/>
    <w:rsid w:val="00B37881"/>
    <w:rsid w:val="00B546AA"/>
    <w:rsid w:val="00B86625"/>
    <w:rsid w:val="00BC060D"/>
    <w:rsid w:val="00BC393B"/>
    <w:rsid w:val="00C56D53"/>
    <w:rsid w:val="00DC21E2"/>
    <w:rsid w:val="00E27DDE"/>
    <w:rsid w:val="00EB6540"/>
    <w:rsid w:val="00ED41E9"/>
    <w:rsid w:val="00EE22AC"/>
    <w:rsid w:val="00F900B6"/>
    <w:rsid w:val="00FA107C"/>
    <w:rsid w:val="00FF274D"/>
    <w:rsid w:val="08857B8F"/>
    <w:rsid w:val="1DE65DB3"/>
    <w:rsid w:val="3511AE60"/>
    <w:rsid w:val="3A3F37EA"/>
    <w:rsid w:val="3BC13661"/>
    <w:rsid w:val="3D0E4498"/>
    <w:rsid w:val="3E25C98C"/>
    <w:rsid w:val="3FD07C4D"/>
    <w:rsid w:val="446A3167"/>
    <w:rsid w:val="4E19F533"/>
    <w:rsid w:val="52E433DB"/>
    <w:rsid w:val="5C24B370"/>
    <w:rsid w:val="5EE398EF"/>
    <w:rsid w:val="66466B53"/>
    <w:rsid w:val="6AC43B41"/>
    <w:rsid w:val="75CBB100"/>
    <w:rsid w:val="7610B300"/>
    <w:rsid w:val="7CA4B8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5FDF1"/>
  <w15:chartTrackingRefBased/>
  <w15:docId w15:val="{DD633A17-7ECE-4308-A23C-9137A8B8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6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D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760"/>
    <w:rPr>
      <w:rFonts w:eastAsiaTheme="majorEastAsia" w:cstheme="majorBidi"/>
      <w:color w:val="272727" w:themeColor="text1" w:themeTint="D8"/>
    </w:rPr>
  </w:style>
  <w:style w:type="paragraph" w:styleId="Title">
    <w:name w:val="Title"/>
    <w:basedOn w:val="Normal"/>
    <w:next w:val="Normal"/>
    <w:link w:val="TitleChar"/>
    <w:uiPriority w:val="10"/>
    <w:qFormat/>
    <w:rsid w:val="005D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760"/>
    <w:pPr>
      <w:spacing w:before="160"/>
      <w:jc w:val="center"/>
    </w:pPr>
    <w:rPr>
      <w:i/>
      <w:iCs/>
      <w:color w:val="404040" w:themeColor="text1" w:themeTint="BF"/>
    </w:rPr>
  </w:style>
  <w:style w:type="character" w:customStyle="1" w:styleId="QuoteChar">
    <w:name w:val="Quote Char"/>
    <w:basedOn w:val="DefaultParagraphFont"/>
    <w:link w:val="Quote"/>
    <w:uiPriority w:val="29"/>
    <w:rsid w:val="005D5760"/>
    <w:rPr>
      <w:i/>
      <w:iCs/>
      <w:color w:val="404040" w:themeColor="text1" w:themeTint="BF"/>
    </w:rPr>
  </w:style>
  <w:style w:type="paragraph" w:styleId="ListParagraph">
    <w:name w:val="List Paragraph"/>
    <w:basedOn w:val="Normal"/>
    <w:uiPriority w:val="34"/>
    <w:qFormat/>
    <w:rsid w:val="005D5760"/>
    <w:pPr>
      <w:ind w:left="720"/>
      <w:contextualSpacing/>
    </w:pPr>
  </w:style>
  <w:style w:type="character" w:styleId="IntenseEmphasis">
    <w:name w:val="Intense Emphasis"/>
    <w:basedOn w:val="DefaultParagraphFont"/>
    <w:uiPriority w:val="21"/>
    <w:qFormat/>
    <w:rsid w:val="005D5760"/>
    <w:rPr>
      <w:i/>
      <w:iCs/>
      <w:color w:val="0F4761" w:themeColor="accent1" w:themeShade="BF"/>
    </w:rPr>
  </w:style>
  <w:style w:type="paragraph" w:styleId="IntenseQuote">
    <w:name w:val="Intense Quote"/>
    <w:basedOn w:val="Normal"/>
    <w:next w:val="Normal"/>
    <w:link w:val="IntenseQuoteChar"/>
    <w:uiPriority w:val="30"/>
    <w:qFormat/>
    <w:rsid w:val="005D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760"/>
    <w:rPr>
      <w:i/>
      <w:iCs/>
      <w:color w:val="0F4761" w:themeColor="accent1" w:themeShade="BF"/>
    </w:rPr>
  </w:style>
  <w:style w:type="character" w:styleId="IntenseReference">
    <w:name w:val="Intense Reference"/>
    <w:basedOn w:val="DefaultParagraphFont"/>
    <w:uiPriority w:val="32"/>
    <w:qFormat/>
    <w:rsid w:val="005D5760"/>
    <w:rPr>
      <w:b/>
      <w:bCs/>
      <w:smallCaps/>
      <w:color w:val="0F4761" w:themeColor="accent1" w:themeShade="BF"/>
      <w:spacing w:val="5"/>
    </w:rPr>
  </w:style>
  <w:style w:type="table" w:styleId="TableGrid">
    <w:name w:val="Table Grid"/>
    <w:basedOn w:val="TableNormal"/>
    <w:uiPriority w:val="39"/>
    <w:rsid w:val="005D57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vAlign w:val="center"/>
    </w:tcPr>
    <w:tblStylePr w:type="firstRow">
      <w:pPr>
        <w:jc w:val="left"/>
      </w:pPr>
      <w:rPr>
        <w:b w:val="0"/>
      </w:rPr>
    </w:tblStylePr>
    <w:tblStylePr w:type="firstCol">
      <w:tblPr/>
      <w:tcPr>
        <w:shd w:val="clear" w:color="auto" w:fill="F2CEED" w:themeFill="accent5" w:themeFillTint="33"/>
      </w:tcPr>
    </w:tblStylePr>
  </w:style>
  <w:style w:type="paragraph" w:customStyle="1" w:styleId="TableBody">
    <w:name w:val="Table Body"/>
    <w:basedOn w:val="Normal"/>
    <w:qFormat/>
    <w:rsid w:val="005D5760"/>
    <w:pPr>
      <w:spacing w:before="60" w:after="60"/>
    </w:pPr>
    <w:rPr>
      <w:bCs/>
    </w:rPr>
  </w:style>
  <w:style w:type="paragraph" w:styleId="BodyText">
    <w:name w:val="Body Text"/>
    <w:basedOn w:val="Normal"/>
    <w:link w:val="BodyTextChar"/>
    <w:uiPriority w:val="1"/>
    <w:qFormat/>
    <w:rsid w:val="005D5760"/>
    <w:pPr>
      <w:widowControl w:val="0"/>
      <w:spacing w:after="0" w:line="240" w:lineRule="auto"/>
      <w:ind w:left="808"/>
    </w:pPr>
    <w:rPr>
      <w:rFonts w:ascii="Arial" w:eastAsia="Arial" w:hAnsi="Arial"/>
      <w:sz w:val="18"/>
      <w:szCs w:val="18"/>
      <w:lang w:val="en-US"/>
    </w:rPr>
  </w:style>
  <w:style w:type="character" w:customStyle="1" w:styleId="BodyTextChar">
    <w:name w:val="Body Text Char"/>
    <w:basedOn w:val="DefaultParagraphFont"/>
    <w:link w:val="BodyText"/>
    <w:uiPriority w:val="1"/>
    <w:rsid w:val="005D5760"/>
    <w:rPr>
      <w:rFonts w:ascii="Arial" w:eastAsia="Arial" w:hAnsi="Arial" w:cs="Times New Roman"/>
      <w:kern w:val="0"/>
      <w:sz w:val="18"/>
      <w:szCs w:val="18"/>
      <w:lang w:val="en-US"/>
      <w14:ligatures w14:val="none"/>
    </w:rPr>
  </w:style>
  <w:style w:type="paragraph" w:customStyle="1" w:styleId="TableHeader">
    <w:name w:val="Table Header"/>
    <w:qFormat/>
    <w:rsid w:val="005D5760"/>
    <w:pPr>
      <w:spacing w:after="0" w:line="280" w:lineRule="exact"/>
      <w:jc w:val="center"/>
    </w:pPr>
    <w:rPr>
      <w:rFonts w:ascii="Calibri" w:eastAsia="Calibri" w:hAnsi="Calibri" w:cs="Times New Roman"/>
      <w:color w:val="58585A"/>
      <w:kern w:val="0"/>
      <w14:ligatures w14:val="none"/>
    </w:rPr>
  </w:style>
  <w:style w:type="paragraph" w:styleId="Header">
    <w:name w:val="header"/>
    <w:basedOn w:val="Normal"/>
    <w:link w:val="HeaderChar"/>
    <w:uiPriority w:val="99"/>
    <w:unhideWhenUsed/>
    <w:rsid w:val="005D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60"/>
    <w:rPr>
      <w:rFonts w:ascii="Calibri" w:eastAsia="Calibri" w:hAnsi="Calibri" w:cs="Times New Roman"/>
      <w:kern w:val="0"/>
      <w14:ligatures w14:val="none"/>
    </w:rPr>
  </w:style>
  <w:style w:type="paragraph" w:customStyle="1" w:styleId="xmsonormal">
    <w:name w:val="x_msonormal"/>
    <w:basedOn w:val="Normal"/>
    <w:rsid w:val="005D5760"/>
    <w:pPr>
      <w:spacing w:after="0" w:line="240" w:lineRule="auto"/>
    </w:pPr>
    <w:rPr>
      <w:rFonts w:eastAsiaTheme="minorHAnsi" w:cs="Calibri"/>
      <w:lang w:eastAsia="en-NZ"/>
    </w:rPr>
  </w:style>
  <w:style w:type="paragraph" w:styleId="Footer">
    <w:name w:val="footer"/>
    <w:basedOn w:val="Normal"/>
    <w:link w:val="FooterChar"/>
    <w:uiPriority w:val="99"/>
    <w:unhideWhenUsed/>
    <w:rsid w:val="0013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64E"/>
    <w:rPr>
      <w:rFonts w:ascii="Calibri" w:eastAsia="Calibri" w:hAnsi="Calibri" w:cs="Times New Roman"/>
      <w:kern w:val="0"/>
      <w14:ligatures w14:val="none"/>
    </w:rPr>
  </w:style>
  <w:style w:type="paragraph" w:customStyle="1" w:styleId="TableParagraph">
    <w:name w:val="Table Paragraph"/>
    <w:basedOn w:val="Normal"/>
    <w:uiPriority w:val="1"/>
    <w:qFormat/>
    <w:rsid w:val="00E27DDE"/>
    <w:pPr>
      <w:widowControl w:val="0"/>
      <w:autoSpaceDE w:val="0"/>
      <w:autoSpaceDN w:val="0"/>
      <w:spacing w:after="0" w:line="240" w:lineRule="auto"/>
    </w:pPr>
    <w:rPr>
      <w:rFonts w:ascii="Arial" w:eastAsia="Arial" w:hAnsi="Arial" w:cs="Arial"/>
      <w:sz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eader" Target="header2.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09413FE38B38B245853B7EF1E9D75D5F" ma:contentTypeVersion="7" ma:contentTypeDescription="Create a new document." ma:contentTypeScope="" ma:versionID="bc3cc8dc629c363cca2dcc2d7b43c9bd">
  <xsd:schema xmlns:xsd="http://www.w3.org/2001/XMLSchema" xmlns:xs="http://www.w3.org/2001/XMLSchema" xmlns:p="http://schemas.microsoft.com/office/2006/metadata/properties" xmlns:ns1="http://schemas.microsoft.com/sharepoint/v3" xmlns:ns2="9253c88c-d550-4ff1-afdc-d5dc691f60b0" xmlns:ns3="7a2c056a-c06b-4496-9fd5-26a1911d4a10" targetNamespace="http://schemas.microsoft.com/office/2006/metadata/properties" ma:root="true" ma:fieldsID="7867605e4efc76e28be1ac6d07090a27" ns1:_="" ns2:_="" ns3:_="">
    <xsd:import namespace="http://schemas.microsoft.com/sharepoint/v3"/>
    <xsd:import namespace="9253c88c-d550-4ff1-afdc-d5dc691f60b0"/>
    <xsd:import namespace="7a2c056a-c06b-4496-9fd5-26a1911d4a10"/>
    <xsd:element name="properties">
      <xsd:complexType>
        <xsd:sequence>
          <xsd:element name="documentManagement">
            <xsd:complexType>
              <xsd:all>
                <xsd:element ref="ns2:TaxCatchAll" minOccurs="0"/>
                <xsd:element ref="ns2:TaxCatchAllLabel" minOccurs="0"/>
                <xsd:element ref="ns2:ka9b207035bc48f2a4f6a2bfed7195b7" minOccurs="0"/>
                <xsd:element ref="ns1:Name" minOccurs="0"/>
                <xsd:element ref="ns2:f3e7f0a218d8438586e2a8545792c0ef" minOccurs="0"/>
                <xsd:element ref="ns2:mb22360ee3e3407ca28e907eb3b7ca6b" minOccurs="0"/>
                <xsd:element ref="ns2:HNZOwner" minOccurs="0"/>
                <xsd:element ref="ns2:p7110e5651294189b89368865130750f" minOccurs="0"/>
                <xsd:element ref="ns2:p777f0da518742b188a1f7fd5ee91810" minOccurs="0"/>
                <xsd:element ref="ns2:HNZReview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6746be-13db-467e-9f01-e46d753551bc}" ma:internalName="TaxCatchAll" ma:showField="CatchAllData" ma:web="7a2c056a-c06b-4496-9fd5-26a1911d4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6746be-13db-467e-9f01-e46d753551bc}" ma:internalName="TaxCatchAllLabel" ma:readOnly="true" ma:showField="CatchAllDataLabel" ma:web="7a2c056a-c06b-4496-9fd5-26a1911d4a10">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3;#People and Communications|6ec2d467-4317-424f-8292-32ea8428c1cc"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fieldId="{f3e7f0a2-18d8-4385-86e2-a8545792c0ef}" ma:taxonomyMulti="true" ma:sspId="ebf29b3f-1e51-457b-ae0c-362182e58074" ma:termSetId="6fc62df7-d99b-474b-a41d-680956366171" ma:anchorId="00000000-0000-0000-0000-000000000000" ma:open="false" ma:isKeyword="false">
      <xsd:complexType>
        <xsd:sequence>
          <xsd:element ref="pc:Terms" minOccurs="0" maxOccurs="1"/>
        </xsd:sequence>
      </xsd:complexType>
    </xsd:element>
    <xsd:element name="mb22360ee3e3407ca28e907eb3b7ca6b" ma:index="15" nillable="true" ma:taxonomy="true" ma:internalName="mb22360ee3e3407ca28e907eb3b7ca6b" ma:taxonomyFieldName="HNZStatus" ma:displayName="Status" ma:default="2;#Draft|4dbd6f0d-7021-43d2-a391-03666245495e" ma:fieldId="{6b22360e-e3e3-407c-a28e-907eb3b7ca6b}" ma:sspId="ebf29b3f-1e51-457b-ae0c-362182e58074" ma:termSetId="24ac87aa-3fa8-4daa-a27b-a4701436e34e" ma:anchorId="00000000-0000-0000-0000-000000000000" ma:open="fals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HNZReviewDate" ma:index="22" nillable="true" ma:displayName="Review Date" ma:description="Review Date for Intranet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2c056a-c06b-4496-9fd5-26a1911d4a10"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d2ac6e-deb4-4656-8994-e112145e9ab3">
      <Value>2</Value>
      <Value>3</Value>
    </TaxCatchAll>
    <lcf76f155ced4ddcb4097134ff3c332f xmlns="2b569a46-b57a-453f-a198-ec07277f5e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947CDF-738B-42D6-8C78-827583AE669C}"/>
</file>

<file path=customXml/itemProps2.xml><?xml version="1.0" encoding="utf-8"?>
<ds:datastoreItem xmlns:ds="http://schemas.openxmlformats.org/officeDocument/2006/customXml" ds:itemID="{037B6CC7-CC48-407C-A292-472B56CDDDE2}">
  <ds:schemaRefs>
    <ds:schemaRef ds:uri="http://schemas.microsoft.com/office/2006/documentManagement/types"/>
    <ds:schemaRef ds:uri="71982e46-36d1-43cf-9873-fd7d8b64e087"/>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BB7BB49-AA79-43DC-8A85-98829DDA0C1F}">
  <ds:schemaRefs>
    <ds:schemaRef ds:uri="http://schemas.microsoft.com/sharepoint/v3/contenttype/forms"/>
  </ds:schemaRefs>
</ds:datastoreItem>
</file>

<file path=customXml/itemProps4.xml><?xml version="1.0" encoding="utf-8"?>
<ds:datastoreItem xmlns:ds="http://schemas.openxmlformats.org/officeDocument/2006/customXml" ds:itemID="{796826D4-FE29-4266-827E-6035CD527927}"/>
</file>

<file path=customXml/itemProps5.xml><?xml version="1.0" encoding="utf-8"?>
<ds:datastoreItem xmlns:ds="http://schemas.openxmlformats.org/officeDocument/2006/customXml" ds:itemID="{25FB0D42-B9CE-446B-B91F-F5200C4689DC}"/>
</file>

<file path=docProps/app.xml><?xml version="1.0" encoding="utf-8"?>
<Properties xmlns="http://schemas.openxmlformats.org/officeDocument/2006/extended-properties" xmlns:vt="http://schemas.openxmlformats.org/officeDocument/2006/docPropsVTypes">
  <Template>Normal</Template>
  <TotalTime>3</TotalTime>
  <Pages>6</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Aitcheson</dc:creator>
  <cp:keywords/>
  <dc:description/>
  <cp:lastModifiedBy>Cameron Grant-Fargie [TDHB]</cp:lastModifiedBy>
  <cp:revision>3</cp:revision>
  <cp:lastPrinted>2025-10-29T01:48:00Z</cp:lastPrinted>
  <dcterms:created xsi:type="dcterms:W3CDTF">2025-10-30T23:48:00Z</dcterms:created>
  <dcterms:modified xsi:type="dcterms:W3CDTF">2025-11-02T21:30:00Z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BusinessFunction">
    <vt:lpwstr>3;#People and Communications|6ec2d467-4317-424f-8292-32ea8428c1cc</vt:lpwstr>
  </property>
  <property fmtid="{D5CDD505-2E9C-101B-9397-08002B2CF9AE}" pid="4" name="HNZRegion">
    <vt:lpwstr/>
  </property>
  <property fmtid="{D5CDD505-2E9C-101B-9397-08002B2CF9AE}" pid="5" name="MediaServiceImageTags">
    <vt:lpwstr/>
  </property>
  <property fmtid="{D5CDD505-2E9C-101B-9397-08002B2CF9AE}" pid="6" name="lcf76f155ced4ddcb4097134ff3c332f">
    <vt:lpwstr/>
  </property>
  <property fmtid="{D5CDD505-2E9C-101B-9397-08002B2CF9AE}" pid="7" name="HNZStatus">
    <vt:lpwstr>2;#Draft|4dbd6f0d-7021-43d2-a391-03666245495e</vt:lpwstr>
  </property>
  <property fmtid="{D5CDD505-2E9C-101B-9397-08002B2CF9AE}" pid="8" name="HNZTopic">
    <vt:lpwstr/>
  </property>
  <property fmtid="{D5CDD505-2E9C-101B-9397-08002B2CF9AE}" pid="9" name="HNZLocalArea">
    <vt:lpwstr/>
  </property>
  <property fmtid="{D5CDD505-2E9C-101B-9397-08002B2CF9AE}" pid="10" name="_dlc_DocIdItemGuid">
    <vt:lpwstr>4dc6052a-186c-4239-beb8-d4bfc05655f3</vt:lpwstr>
  </property>
</Properties>
</file>