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415C" w:rsidR="00D31C14" w:rsidP="00D31C14" w:rsidRDefault="00117F56" w14:paraId="495FCE49" w14:textId="2C37587C">
      <w:pPr>
        <w:spacing w:after="0"/>
      </w:pPr>
      <w:r>
        <w:t>9</w:t>
      </w:r>
      <w:r w:rsidR="00D94E9C">
        <w:t xml:space="preserve"> November 2025</w:t>
      </w:r>
    </w:p>
    <w:p w:rsidR="008C6750" w:rsidP="008C6750" w:rsidRDefault="008C6750" w14:paraId="00DD5792" w14:textId="64DE7A63">
      <w:pPr>
        <w:spacing w:after="0"/>
      </w:pPr>
    </w:p>
    <w:p w:rsidR="008C6750" w:rsidP="008C6750" w:rsidRDefault="008C6750" w14:paraId="17005FE6" w14:textId="1900DE76">
      <w:pPr>
        <w:pStyle w:val="Default"/>
        <w:rPr>
          <w:sz w:val="22"/>
          <w:szCs w:val="22"/>
        </w:rPr>
      </w:pPr>
      <w:r w:rsidRPr="008C6750">
        <w:rPr>
          <w:b/>
          <w:bCs/>
          <w:sz w:val="22"/>
          <w:szCs w:val="22"/>
        </w:rPr>
        <w:t xml:space="preserve">Health New Zealand </w:t>
      </w:r>
      <w:r w:rsidR="00836101">
        <w:rPr>
          <w:b/>
          <w:bCs/>
          <w:sz w:val="22"/>
          <w:szCs w:val="22"/>
        </w:rPr>
        <w:t>Southern</w:t>
      </w:r>
    </w:p>
    <w:p w:rsidR="00117F56" w:rsidP="008C6750" w:rsidRDefault="00117F56" w14:paraId="6AF50298" w14:textId="77777777">
      <w:pPr>
        <w:pStyle w:val="Default"/>
        <w:rPr>
          <w:sz w:val="22"/>
          <w:szCs w:val="22"/>
        </w:rPr>
      </w:pPr>
      <w:r>
        <w:rPr>
          <w:sz w:val="22"/>
          <w:szCs w:val="22"/>
        </w:rPr>
        <w:t>Jenny Hanson</w:t>
      </w:r>
    </w:p>
    <w:p w:rsidR="008C6750" w:rsidP="008C6750" w:rsidRDefault="008C6750" w14:paraId="33AF672E" w14:textId="60547521">
      <w:pPr>
        <w:pStyle w:val="Default"/>
        <w:rPr>
          <w:sz w:val="22"/>
          <w:szCs w:val="22"/>
        </w:rPr>
      </w:pPr>
      <w:r>
        <w:rPr>
          <w:sz w:val="22"/>
          <w:szCs w:val="22"/>
        </w:rPr>
        <w:t xml:space="preserve">Lead Contingency Planner </w:t>
      </w:r>
    </w:p>
    <w:p w:rsidR="008C6750" w:rsidP="008C6750" w:rsidRDefault="008C6750" w14:paraId="1A5D8CCC" w14:textId="77777777">
      <w:pPr>
        <w:pStyle w:val="Default"/>
        <w:rPr>
          <w:sz w:val="22"/>
          <w:szCs w:val="22"/>
        </w:rPr>
      </w:pPr>
    </w:p>
    <w:p w:rsidRPr="008C6750" w:rsidR="008C6750" w:rsidP="21EDCD4F" w:rsidRDefault="008C6750" w14:paraId="463AE61E" w14:textId="270AB83F" w14:noSpellErr="1">
      <w:pPr>
        <w:pStyle w:val="Default"/>
        <w:rPr>
          <w:b w:val="1"/>
          <w:bCs w:val="1"/>
          <w:sz w:val="22"/>
          <w:szCs w:val="22"/>
          <w:lang w:val="en-US"/>
        </w:rPr>
      </w:pPr>
      <w:r w:rsidRPr="21EDCD4F" w:rsidR="008C6750">
        <w:rPr>
          <w:b w:val="1"/>
          <w:bCs w:val="1"/>
          <w:sz w:val="22"/>
          <w:szCs w:val="22"/>
          <w:lang w:val="en-US"/>
        </w:rPr>
        <w:t xml:space="preserve">New Zealand Nurses Organisation (NZNO) </w:t>
      </w:r>
    </w:p>
    <w:p w:rsidR="004548B3" w:rsidP="008C6750" w:rsidRDefault="00EA1A96" w14:paraId="1FEB6934" w14:textId="1386B7DB">
      <w:pPr>
        <w:pStyle w:val="Default"/>
        <w:rPr>
          <w:sz w:val="22"/>
          <w:szCs w:val="22"/>
        </w:rPr>
      </w:pPr>
      <w:r>
        <w:rPr>
          <w:sz w:val="22"/>
          <w:szCs w:val="22"/>
        </w:rPr>
        <w:t>Lynda Boyd</w:t>
      </w:r>
    </w:p>
    <w:p w:rsidR="008C6750" w:rsidP="21EDCD4F" w:rsidRDefault="00EA1A96" w14:paraId="399F1FA6" w14:textId="3917F633" w14:noSpellErr="1">
      <w:pPr>
        <w:pStyle w:val="Default"/>
        <w:rPr>
          <w:sz w:val="22"/>
          <w:szCs w:val="22"/>
          <w:lang w:val="en-US"/>
        </w:rPr>
      </w:pPr>
      <w:r w:rsidRPr="21EDCD4F" w:rsidR="00EA1A96">
        <w:rPr>
          <w:sz w:val="22"/>
          <w:szCs w:val="22"/>
          <w:lang w:val="en-US"/>
        </w:rPr>
        <w:t xml:space="preserve">NZNO Te Waipounamu </w:t>
      </w:r>
      <w:r w:rsidRPr="21EDCD4F" w:rsidR="008C6750">
        <w:rPr>
          <w:sz w:val="22"/>
          <w:szCs w:val="22"/>
          <w:lang w:val="en-US"/>
        </w:rPr>
        <w:t xml:space="preserve">Organiser </w:t>
      </w:r>
    </w:p>
    <w:p w:rsidR="00D31C14" w:rsidP="00D31C14" w:rsidRDefault="00D31C14" w14:paraId="74552ABB" w14:textId="77777777">
      <w:pPr>
        <w:spacing w:after="0"/>
      </w:pPr>
    </w:p>
    <w:p w:rsidRPr="00DE415C" w:rsidR="00D31C14" w:rsidP="00D31C14" w:rsidRDefault="008C6750" w14:paraId="1C195FE9" w14:textId="55205397">
      <w:pPr>
        <w:spacing w:after="0"/>
      </w:pPr>
      <w:r>
        <w:t xml:space="preserve">Kia </w:t>
      </w:r>
      <w:proofErr w:type="spellStart"/>
      <w:r>
        <w:t>ora</w:t>
      </w:r>
      <w:proofErr w:type="spellEnd"/>
      <w:r w:rsidR="00D31C14">
        <w:t xml:space="preserve"> </w:t>
      </w:r>
      <w:r w:rsidR="001B2B46">
        <w:t>Lynda</w:t>
      </w:r>
      <w:r w:rsidR="00117F56">
        <w:t xml:space="preserve"> &amp; Jenny</w:t>
      </w:r>
    </w:p>
    <w:p w:rsidRPr="00DE415C" w:rsidR="00D31C14" w:rsidP="00D31C14" w:rsidRDefault="00D31C14" w14:paraId="14813355" w14:textId="77777777">
      <w:pPr>
        <w:pStyle w:val="BodyText2"/>
        <w:rPr>
          <w:szCs w:val="22"/>
        </w:rPr>
      </w:pPr>
    </w:p>
    <w:p w:rsidRPr="009F21F1" w:rsidR="00D31C14" w:rsidP="00D31C14" w:rsidRDefault="008C6750" w14:paraId="3B9B0B83" w14:textId="053D3619">
      <w:pPr>
        <w:pStyle w:val="Heading1"/>
        <w:spacing w:line="240" w:lineRule="auto"/>
        <w:rPr>
          <w:sz w:val="24"/>
          <w:szCs w:val="24"/>
        </w:rPr>
      </w:pPr>
      <w:r w:rsidRPr="009F21F1">
        <w:rPr>
          <w:sz w:val="24"/>
          <w:szCs w:val="24"/>
        </w:rPr>
        <w:t>R</w:t>
      </w:r>
      <w:r w:rsidRPr="009F21F1" w:rsidR="009F21F1">
        <w:rPr>
          <w:sz w:val="24"/>
          <w:szCs w:val="24"/>
        </w:rPr>
        <w:t>e</w:t>
      </w:r>
      <w:r w:rsidRPr="009F21F1">
        <w:rPr>
          <w:sz w:val="24"/>
          <w:szCs w:val="24"/>
        </w:rPr>
        <w:t xml:space="preserve">: Adjudication for Life Preserving Services (LPS) </w:t>
      </w:r>
      <w:r w:rsidR="00117F56">
        <w:rPr>
          <w:sz w:val="24"/>
          <w:szCs w:val="24"/>
        </w:rPr>
        <w:t>Southern distric</w:t>
      </w:r>
      <w:r w:rsidR="0069400E">
        <w:rPr>
          <w:sz w:val="24"/>
          <w:szCs w:val="24"/>
        </w:rPr>
        <w:t>t in respect of NZNO industrial action 17</w:t>
      </w:r>
      <w:r w:rsidRPr="0069400E" w:rsidR="0069400E">
        <w:rPr>
          <w:sz w:val="24"/>
          <w:szCs w:val="24"/>
          <w:vertAlign w:val="superscript"/>
        </w:rPr>
        <w:t>th</w:t>
      </w:r>
      <w:r w:rsidR="0069400E">
        <w:rPr>
          <w:sz w:val="24"/>
          <w:szCs w:val="24"/>
        </w:rPr>
        <w:t xml:space="preserve"> November to 30</w:t>
      </w:r>
      <w:r w:rsidRPr="0069400E" w:rsidR="0069400E">
        <w:rPr>
          <w:sz w:val="24"/>
          <w:szCs w:val="24"/>
          <w:vertAlign w:val="superscript"/>
        </w:rPr>
        <w:t>th</w:t>
      </w:r>
      <w:r w:rsidR="0069400E">
        <w:rPr>
          <w:sz w:val="24"/>
          <w:szCs w:val="24"/>
        </w:rPr>
        <w:t xml:space="preserve"> November 2025. </w:t>
      </w:r>
    </w:p>
    <w:p w:rsidRPr="00DE415C" w:rsidR="00D31C14" w:rsidP="00B01D84" w:rsidRDefault="00D31C14" w14:paraId="3F3C0056" w14:textId="77777777">
      <w:pPr>
        <w:pStyle w:val="BodyText2"/>
        <w:rPr>
          <w:szCs w:val="22"/>
        </w:rPr>
      </w:pPr>
    </w:p>
    <w:p w:rsidR="002E1621" w:rsidP="002E1621" w:rsidRDefault="002E1621" w14:paraId="35105C7D" w14:textId="60C70764">
      <w:pPr>
        <w:pStyle w:val="BodyText2"/>
        <w:rPr>
          <w:lang w:val="en-NZ"/>
        </w:rPr>
      </w:pPr>
      <w:r w:rsidRPr="002E1621">
        <w:rPr>
          <w:lang w:val="en-NZ"/>
        </w:rPr>
        <w:t xml:space="preserve">This determination is issued in my capacity as adjudicator under Clause 13 of Schedule 1B of the Code of Good Faith for the Public Health Sector, pursuant to the Employment Relations Act 2000. </w:t>
      </w:r>
    </w:p>
    <w:p w:rsidRPr="002E1621" w:rsidR="00117F56" w:rsidP="002E1621" w:rsidRDefault="00117F56" w14:paraId="3EC4B95E" w14:textId="4707C7F1">
      <w:pPr>
        <w:pStyle w:val="BodyText2"/>
        <w:rPr>
          <w:szCs w:val="22"/>
        </w:rPr>
      </w:pPr>
      <w:r>
        <w:rPr>
          <w:lang w:val="en-NZ"/>
        </w:rPr>
        <w:t>Thank you for taking the time to meet with me today</w:t>
      </w:r>
      <w:r w:rsidR="005E1461">
        <w:rPr>
          <w:lang w:val="en-NZ"/>
        </w:rPr>
        <w:t xml:space="preserve"> along with your colleagues</w:t>
      </w:r>
      <w:r>
        <w:rPr>
          <w:lang w:val="en-NZ"/>
        </w:rPr>
        <w:t xml:space="preserve"> </w:t>
      </w:r>
      <w:r w:rsidR="005E1461">
        <w:rPr>
          <w:lang w:val="en-NZ"/>
        </w:rPr>
        <w:t xml:space="preserve">who assisted </w:t>
      </w:r>
      <w:r w:rsidR="00EA1A96">
        <w:rPr>
          <w:lang w:val="en-NZ"/>
        </w:rPr>
        <w:t>in outlining</w:t>
      </w:r>
      <w:r>
        <w:rPr>
          <w:lang w:val="en-NZ"/>
        </w:rPr>
        <w:t xml:space="preserve"> your respective positions. </w:t>
      </w:r>
    </w:p>
    <w:p w:rsidRPr="002E1621" w:rsidR="002E1621" w:rsidP="002E1621" w:rsidRDefault="002E1621" w14:paraId="4D523316" w14:textId="77777777">
      <w:pPr>
        <w:pStyle w:val="BodyText2"/>
        <w:rPr>
          <w:lang w:val="en-NZ"/>
        </w:rPr>
      </w:pPr>
    </w:p>
    <w:p w:rsidRPr="002E1621" w:rsidR="002E1621" w:rsidP="002E1621" w:rsidRDefault="002E1621" w14:paraId="52490F1B" w14:textId="0040286B">
      <w:pPr>
        <w:pStyle w:val="BodyText2"/>
        <w:rPr>
          <w:lang w:val="en-NZ"/>
        </w:rPr>
      </w:pPr>
      <w:r w:rsidRPr="002E1621">
        <w:rPr>
          <w:lang w:val="en-NZ"/>
        </w:rPr>
        <w:t>Health New Zealand</w:t>
      </w:r>
      <w:r w:rsidR="00117F56">
        <w:rPr>
          <w:lang w:val="en-NZ"/>
        </w:rPr>
        <w:t xml:space="preserve"> (HNZ)</w:t>
      </w:r>
      <w:r w:rsidR="00D23258">
        <w:rPr>
          <w:lang w:val="en-NZ"/>
        </w:rPr>
        <w:t xml:space="preserve"> </w:t>
      </w:r>
      <w:r w:rsidR="00117F56">
        <w:rPr>
          <w:lang w:val="en-NZ"/>
        </w:rPr>
        <w:t xml:space="preserve">Southern </w:t>
      </w:r>
      <w:r w:rsidRPr="002E1621">
        <w:rPr>
          <w:lang w:val="en-NZ"/>
        </w:rPr>
        <w:t>ha</w:t>
      </w:r>
      <w:r w:rsidR="005E1461">
        <w:rPr>
          <w:lang w:val="en-NZ"/>
        </w:rPr>
        <w:t xml:space="preserve">d </w:t>
      </w:r>
      <w:r w:rsidRPr="002E1621">
        <w:rPr>
          <w:lang w:val="en-NZ"/>
        </w:rPr>
        <w:t>referred this matter for adjudication on the grounds that:</w:t>
      </w:r>
    </w:p>
    <w:p w:rsidRPr="002E1621" w:rsidR="002E1621" w:rsidP="002E1621" w:rsidRDefault="002E1621" w14:paraId="57D57006" w14:textId="77777777">
      <w:pPr>
        <w:pStyle w:val="BodyText2"/>
        <w:numPr>
          <w:ilvl w:val="0"/>
          <w:numId w:val="8"/>
        </w:numPr>
        <w:rPr>
          <w:lang w:val="en-NZ"/>
        </w:rPr>
      </w:pPr>
      <w:r w:rsidRPr="002E1621">
        <w:rPr>
          <w:lang w:val="en-NZ"/>
        </w:rPr>
        <w:t>It has made a formal request to NZNO under Clause 12(2) of the Code for union member assistance in maintaining LPS.</w:t>
      </w:r>
    </w:p>
    <w:p w:rsidRPr="002E1621" w:rsidR="002E1621" w:rsidP="002E1621" w:rsidRDefault="002E1621" w14:paraId="323781A1" w14:textId="4899EF29">
      <w:pPr>
        <w:pStyle w:val="BodyText2"/>
        <w:numPr>
          <w:ilvl w:val="0"/>
          <w:numId w:val="8"/>
        </w:numPr>
        <w:rPr>
          <w:lang w:val="en-NZ"/>
        </w:rPr>
      </w:pPr>
      <w:r w:rsidRPr="002E1621">
        <w:rPr>
          <w:lang w:val="en-NZ"/>
        </w:rPr>
        <w:t xml:space="preserve">Despite good faith negotiations, agreement </w:t>
      </w:r>
      <w:r w:rsidR="005E1461">
        <w:rPr>
          <w:lang w:val="en-NZ"/>
        </w:rPr>
        <w:t>had</w:t>
      </w:r>
      <w:r w:rsidRPr="002E1621">
        <w:rPr>
          <w:lang w:val="en-NZ"/>
        </w:rPr>
        <w:t xml:space="preserve"> not be</w:t>
      </w:r>
      <w:r w:rsidR="005E1461">
        <w:rPr>
          <w:lang w:val="en-NZ"/>
        </w:rPr>
        <w:t>en</w:t>
      </w:r>
      <w:r w:rsidRPr="002E1621">
        <w:rPr>
          <w:lang w:val="en-NZ"/>
        </w:rPr>
        <w:t xml:space="preserve"> reached on the scope and staffing of LPS.</w:t>
      </w:r>
    </w:p>
    <w:p w:rsidRPr="002E1621" w:rsidR="002E1621" w:rsidP="002E1621" w:rsidRDefault="002E1621" w14:paraId="1674C319" w14:textId="036DF3FD">
      <w:pPr>
        <w:pStyle w:val="BodyText2"/>
        <w:numPr>
          <w:ilvl w:val="0"/>
          <w:numId w:val="8"/>
        </w:numPr>
        <w:rPr>
          <w:lang w:val="en-NZ"/>
        </w:rPr>
      </w:pPr>
      <w:r w:rsidRPr="002E1621">
        <w:rPr>
          <w:lang w:val="en-NZ"/>
        </w:rPr>
        <w:t xml:space="preserve">The District </w:t>
      </w:r>
      <w:r w:rsidR="005E1461">
        <w:rPr>
          <w:lang w:val="en-NZ"/>
        </w:rPr>
        <w:t xml:space="preserve">was </w:t>
      </w:r>
      <w:r w:rsidRPr="002E1621">
        <w:rPr>
          <w:lang w:val="en-NZ"/>
        </w:rPr>
        <w:t>seek</w:t>
      </w:r>
      <w:r w:rsidR="005E1461">
        <w:rPr>
          <w:lang w:val="en-NZ"/>
        </w:rPr>
        <w:t>ing</w:t>
      </w:r>
      <w:r w:rsidRPr="002E1621">
        <w:rPr>
          <w:lang w:val="en-NZ"/>
        </w:rPr>
        <w:t xml:space="preserve"> adjudication to</w:t>
      </w:r>
      <w:r w:rsidR="009F21F1">
        <w:rPr>
          <w:lang w:val="en-NZ"/>
        </w:rPr>
        <w:t xml:space="preserve"> determine</w:t>
      </w:r>
      <w:r w:rsidRPr="002E1621">
        <w:rPr>
          <w:lang w:val="en-NZ"/>
        </w:rPr>
        <w:t xml:space="preserve">: </w:t>
      </w:r>
    </w:p>
    <w:p w:rsidRPr="002E1621" w:rsidR="002E1621" w:rsidP="002E1621" w:rsidRDefault="00117F56" w14:paraId="186D661C" w14:textId="74153055">
      <w:pPr>
        <w:pStyle w:val="BodyText2"/>
        <w:numPr>
          <w:ilvl w:val="1"/>
          <w:numId w:val="8"/>
        </w:numPr>
        <w:rPr>
          <w:lang w:val="en-NZ"/>
        </w:rPr>
      </w:pPr>
      <w:r>
        <w:rPr>
          <w:lang w:val="en-NZ"/>
        </w:rPr>
        <w:t>Agreement on the scope of LPS inclusive of c</w:t>
      </w:r>
      <w:r w:rsidRPr="002E1621">
        <w:rPr>
          <w:lang w:val="en-NZ"/>
        </w:rPr>
        <w:t>lause 12</w:t>
      </w:r>
      <w:r>
        <w:rPr>
          <w:lang w:val="en-NZ"/>
        </w:rPr>
        <w:t>(</w:t>
      </w:r>
      <w:r w:rsidRPr="002E1621">
        <w:rPr>
          <w:lang w:val="en-NZ"/>
        </w:rPr>
        <w:t>5</w:t>
      </w:r>
      <w:r>
        <w:rPr>
          <w:lang w:val="en-NZ"/>
        </w:rPr>
        <w:t>)</w:t>
      </w:r>
      <w:r w:rsidRPr="002E1621">
        <w:rPr>
          <w:lang w:val="en-NZ"/>
        </w:rPr>
        <w:t>c</w:t>
      </w:r>
    </w:p>
    <w:p w:rsidR="002E1621" w:rsidP="009F21F1" w:rsidRDefault="00117F56" w14:paraId="7E6E797E" w14:textId="2C35D8EC">
      <w:pPr>
        <w:pStyle w:val="BodyText2"/>
        <w:numPr>
          <w:ilvl w:val="1"/>
          <w:numId w:val="8"/>
        </w:numPr>
        <w:rPr>
          <w:lang w:val="en-NZ"/>
        </w:rPr>
      </w:pPr>
      <w:r>
        <w:rPr>
          <w:lang w:val="en-NZ"/>
        </w:rPr>
        <w:t>Agreement around the process to access help from NZNO members in the event that this is required.</w:t>
      </w:r>
    </w:p>
    <w:p w:rsidR="00117F56" w:rsidP="00117F56" w:rsidRDefault="00117F56" w14:paraId="5F4A7BD9" w14:textId="4BFAFD3D">
      <w:pPr>
        <w:pStyle w:val="BodyText2"/>
        <w:numPr>
          <w:ilvl w:val="0"/>
          <w:numId w:val="8"/>
        </w:numPr>
        <w:rPr>
          <w:lang w:val="en-NZ"/>
        </w:rPr>
      </w:pPr>
      <w:r>
        <w:rPr>
          <w:lang w:val="en-NZ"/>
        </w:rPr>
        <w:t xml:space="preserve">The NZNO areas of outstanding agreement </w:t>
      </w:r>
      <w:r w:rsidR="005E1461">
        <w:rPr>
          <w:lang w:val="en-NZ"/>
        </w:rPr>
        <w:t>were</w:t>
      </w:r>
      <w:r>
        <w:rPr>
          <w:lang w:val="en-NZ"/>
        </w:rPr>
        <w:t>:</w:t>
      </w:r>
    </w:p>
    <w:p w:rsidR="00117F56" w:rsidP="00117F56" w:rsidRDefault="00117F56" w14:paraId="014A4739" w14:textId="7634FE33">
      <w:pPr>
        <w:pStyle w:val="BodyText2"/>
        <w:numPr>
          <w:ilvl w:val="1"/>
          <w:numId w:val="8"/>
        </w:numPr>
        <w:rPr>
          <w:lang w:val="en-NZ"/>
        </w:rPr>
      </w:pPr>
      <w:r>
        <w:rPr>
          <w:lang w:val="en-NZ"/>
        </w:rPr>
        <w:t>Utilising bureau, volunteers etc before a request is made of a striking member</w:t>
      </w:r>
    </w:p>
    <w:p w:rsidRPr="009F21F1" w:rsidR="00117F56" w:rsidP="00117F56" w:rsidRDefault="00117F56" w14:paraId="733318E7" w14:textId="137814F5">
      <w:pPr>
        <w:pStyle w:val="BodyText2"/>
        <w:numPr>
          <w:ilvl w:val="1"/>
          <w:numId w:val="8"/>
        </w:numPr>
        <w:rPr>
          <w:lang w:val="en-NZ"/>
        </w:rPr>
      </w:pPr>
      <w:r>
        <w:rPr>
          <w:lang w:val="en-NZ"/>
        </w:rPr>
        <w:t>How LPS will be met. Existing staff on shift v</w:t>
      </w:r>
      <w:r w:rsidR="00EA1A96">
        <w:rPr>
          <w:lang w:val="en-NZ"/>
        </w:rPr>
        <w:t>er</w:t>
      </w:r>
      <w:r>
        <w:rPr>
          <w:lang w:val="en-NZ"/>
        </w:rPr>
        <w:t>s</w:t>
      </w:r>
      <w:r w:rsidR="00EA1A96">
        <w:rPr>
          <w:lang w:val="en-NZ"/>
        </w:rPr>
        <w:t>us</w:t>
      </w:r>
      <w:r>
        <w:rPr>
          <w:lang w:val="en-NZ"/>
        </w:rPr>
        <w:t xml:space="preserve"> a pool of staff who have already agreed to provide LPS. </w:t>
      </w:r>
    </w:p>
    <w:p w:rsidRPr="002E1621" w:rsidR="002E1621" w:rsidP="002E1621" w:rsidRDefault="002E1621" w14:paraId="0CE9DCC3" w14:textId="77777777">
      <w:pPr>
        <w:pStyle w:val="BodyText2"/>
        <w:ind w:left="1440"/>
        <w:rPr>
          <w:lang w:val="en-NZ"/>
        </w:rPr>
      </w:pPr>
    </w:p>
    <w:p w:rsidR="00117F56" w:rsidP="002E1621" w:rsidRDefault="00D23258" w14:paraId="265403CC" w14:textId="0ED3982E">
      <w:pPr>
        <w:pStyle w:val="BodyText2"/>
        <w:rPr>
          <w:lang w:val="en-NZ"/>
        </w:rPr>
      </w:pPr>
      <w:r>
        <w:rPr>
          <w:lang w:val="en-NZ"/>
        </w:rPr>
        <w:t>The s</w:t>
      </w:r>
      <w:r w:rsidRPr="002E1621" w:rsidR="002E1621">
        <w:rPr>
          <w:lang w:val="en-NZ"/>
        </w:rPr>
        <w:t>upporting documentation</w:t>
      </w:r>
      <w:r>
        <w:rPr>
          <w:lang w:val="en-NZ"/>
        </w:rPr>
        <w:t xml:space="preserve"> </w:t>
      </w:r>
      <w:r w:rsidR="00117F56">
        <w:rPr>
          <w:lang w:val="en-NZ"/>
        </w:rPr>
        <w:t xml:space="preserve">I was provided </w:t>
      </w:r>
      <w:r w:rsidRPr="002E1621" w:rsidR="002E1621">
        <w:rPr>
          <w:lang w:val="en-NZ"/>
        </w:rPr>
        <w:t>include</w:t>
      </w:r>
      <w:r w:rsidR="002E1621">
        <w:rPr>
          <w:lang w:val="en-NZ"/>
        </w:rPr>
        <w:t>d</w:t>
      </w:r>
      <w:r w:rsidR="00EA1A96">
        <w:rPr>
          <w:lang w:val="en-NZ"/>
        </w:rPr>
        <w:t xml:space="preserve"> (but was not limited to)</w:t>
      </w:r>
      <w:r w:rsidRPr="002E1621" w:rsidR="002E1621">
        <w:rPr>
          <w:lang w:val="en-NZ"/>
        </w:rPr>
        <w:t xml:space="preserve"> </w:t>
      </w:r>
      <w:r w:rsidR="00EA1A96">
        <w:rPr>
          <w:lang w:val="en-NZ"/>
        </w:rPr>
        <w:t xml:space="preserve">the proposed Southern District </w:t>
      </w:r>
      <w:r w:rsidRPr="002E1621" w:rsidR="002E1621">
        <w:rPr>
          <w:lang w:val="en-NZ"/>
        </w:rPr>
        <w:t xml:space="preserve">LPS schedules, </w:t>
      </w:r>
      <w:r w:rsidR="005E1461">
        <w:rPr>
          <w:lang w:val="en-NZ"/>
        </w:rPr>
        <w:t xml:space="preserve">an </w:t>
      </w:r>
      <w:r w:rsidR="009F21F1">
        <w:rPr>
          <w:lang w:val="en-NZ"/>
        </w:rPr>
        <w:t xml:space="preserve">NZNO submission on proposed ways of working </w:t>
      </w:r>
      <w:r w:rsidRPr="002E1621" w:rsidR="002E1621">
        <w:rPr>
          <w:lang w:val="en-NZ"/>
        </w:rPr>
        <w:t>and operational rationale for LPS coverage</w:t>
      </w:r>
      <w:r w:rsidR="005E1461">
        <w:rPr>
          <w:lang w:val="en-NZ"/>
        </w:rPr>
        <w:t>, an</w:t>
      </w:r>
      <w:r w:rsidR="00117F56">
        <w:rPr>
          <w:lang w:val="en-NZ"/>
        </w:rPr>
        <w:t xml:space="preserve"> NZNO summary of Southern district position</w:t>
      </w:r>
      <w:r w:rsidR="005E1461">
        <w:rPr>
          <w:lang w:val="en-NZ"/>
        </w:rPr>
        <w:t xml:space="preserve"> and</w:t>
      </w:r>
      <w:r w:rsidR="00117F56">
        <w:rPr>
          <w:lang w:val="en-NZ"/>
        </w:rPr>
        <w:t xml:space="preserve"> National correspondence between NZNO and the lead contingency planner for HNZ.</w:t>
      </w:r>
    </w:p>
    <w:p w:rsidR="00117F56" w:rsidP="002E1621" w:rsidRDefault="00117F56" w14:paraId="46CA18AA" w14:textId="77777777">
      <w:pPr>
        <w:pStyle w:val="BodyText2"/>
        <w:rPr>
          <w:lang w:val="en-NZ"/>
        </w:rPr>
      </w:pPr>
    </w:p>
    <w:p w:rsidRPr="002E1621" w:rsidR="002E1621" w:rsidP="002E1621" w:rsidRDefault="00117F56" w14:paraId="4ADB34F8" w14:textId="6529CDE1">
      <w:pPr>
        <w:pStyle w:val="BodyText2"/>
        <w:rPr>
          <w:lang w:val="en-NZ"/>
        </w:rPr>
      </w:pPr>
      <w:r>
        <w:rPr>
          <w:lang w:val="en-NZ"/>
        </w:rPr>
        <w:t>Following our meeting and after careful consideration of the issues raised</w:t>
      </w:r>
      <w:r w:rsidR="00EA1A96">
        <w:rPr>
          <w:lang w:val="en-NZ"/>
        </w:rPr>
        <w:t>, it is my view that the</w:t>
      </w:r>
      <w:r w:rsidR="005E1461">
        <w:rPr>
          <w:lang w:val="en-NZ"/>
        </w:rPr>
        <w:t xml:space="preserve"> major difference of opinion centred around the whether LPS should be sought from individual staff members or whether it should be sought from a pool of NZNO members who had agreed to provide LPS and who would be on-call either on or offsite. I do entirely accept that this suggestion is grounded in good faith and the wish to provide safe patient care</w:t>
      </w:r>
      <w:r w:rsidR="00EA1A96">
        <w:rPr>
          <w:lang w:val="en-NZ"/>
        </w:rPr>
        <w:t>,</w:t>
      </w:r>
      <w:r w:rsidR="005E1461">
        <w:rPr>
          <w:lang w:val="en-NZ"/>
        </w:rPr>
        <w:t xml:space="preserve"> but I do not think it is feasible to create a pool that would cover all eventualities over such a long period of time. Roster</w:t>
      </w:r>
      <w:r w:rsidR="00EA1A96">
        <w:rPr>
          <w:lang w:val="en-NZ"/>
        </w:rPr>
        <w:t>s</w:t>
      </w:r>
      <w:r w:rsidR="005E1461">
        <w:rPr>
          <w:lang w:val="en-NZ"/>
        </w:rPr>
        <w:t xml:space="preserve"> for the strike period have already been issued an whilst they may not be full</w:t>
      </w:r>
      <w:r w:rsidR="00EA1A96">
        <w:rPr>
          <w:lang w:val="en-NZ"/>
        </w:rPr>
        <w:t>,</w:t>
      </w:r>
      <w:r w:rsidR="005E1461">
        <w:rPr>
          <w:lang w:val="en-NZ"/>
        </w:rPr>
        <w:t xml:space="preserve"> I do not think that this is a workable solution. I have concerns around the maintenance of such a pool and the access to an appropriate skill mix from this solution. </w:t>
      </w:r>
    </w:p>
    <w:p w:rsidRPr="002E1621" w:rsidR="002E1621" w:rsidP="002E1621" w:rsidRDefault="002E1621" w14:paraId="4FC74D18" w14:textId="77777777">
      <w:pPr>
        <w:pStyle w:val="BodyText2"/>
        <w:rPr>
          <w:lang w:val="en-NZ"/>
        </w:rPr>
      </w:pPr>
    </w:p>
    <w:p w:rsidR="005E1461" w:rsidP="002A70EF" w:rsidRDefault="005E1461" w14:paraId="71F3E858" w14:textId="77777777">
      <w:pPr>
        <w:pStyle w:val="BodyText2"/>
        <w:rPr>
          <w:lang w:val="en-NZ"/>
        </w:rPr>
      </w:pPr>
    </w:p>
    <w:p w:rsidR="005E1461" w:rsidP="002A70EF" w:rsidRDefault="005E1461" w14:paraId="7A85ACF6" w14:textId="77777777">
      <w:pPr>
        <w:pStyle w:val="BodyText2"/>
        <w:rPr>
          <w:lang w:val="en-NZ"/>
        </w:rPr>
      </w:pPr>
    </w:p>
    <w:p w:rsidR="005E1461" w:rsidP="002A70EF" w:rsidRDefault="005E1461" w14:paraId="1AE6DD3D" w14:textId="77777777">
      <w:pPr>
        <w:pStyle w:val="BodyText2"/>
        <w:rPr>
          <w:lang w:val="en-NZ"/>
        </w:rPr>
      </w:pPr>
    </w:p>
    <w:p w:rsidR="005E1461" w:rsidP="002A70EF" w:rsidRDefault="005E1461" w14:paraId="25144BC0" w14:textId="77777777">
      <w:pPr>
        <w:pStyle w:val="BodyText2"/>
        <w:rPr>
          <w:lang w:val="en-NZ"/>
        </w:rPr>
      </w:pPr>
    </w:p>
    <w:p w:rsidR="005E1461" w:rsidP="002A70EF" w:rsidRDefault="005E1461" w14:paraId="402C1B2D" w14:textId="77777777">
      <w:pPr>
        <w:pStyle w:val="BodyText2"/>
        <w:rPr>
          <w:lang w:val="en-NZ"/>
        </w:rPr>
      </w:pPr>
    </w:p>
    <w:p w:rsidR="005E1461" w:rsidP="002A70EF" w:rsidRDefault="005E1461" w14:paraId="71E50783" w14:textId="77777777">
      <w:pPr>
        <w:pStyle w:val="BodyText2"/>
        <w:rPr>
          <w:lang w:val="en-NZ"/>
        </w:rPr>
      </w:pPr>
    </w:p>
    <w:p w:rsidR="00DD1F84" w:rsidP="002A70EF" w:rsidRDefault="005E1461" w14:paraId="174E86CF" w14:textId="771B6B01">
      <w:pPr>
        <w:pStyle w:val="BodyText2"/>
        <w:rPr>
          <w:lang w:val="en-NZ"/>
        </w:rPr>
      </w:pPr>
      <w:r>
        <w:rPr>
          <w:lang w:val="en-NZ"/>
        </w:rPr>
        <w:t>T</w:t>
      </w:r>
      <w:r w:rsidRPr="002E1621" w:rsidR="002E1621">
        <w:rPr>
          <w:lang w:val="en-NZ"/>
        </w:rPr>
        <w:t>he following</w:t>
      </w:r>
      <w:r>
        <w:rPr>
          <w:lang w:val="en-NZ"/>
        </w:rPr>
        <w:t xml:space="preserve"> represents my determination in this matter</w:t>
      </w:r>
      <w:r w:rsidRPr="002E1621" w:rsidR="002E1621">
        <w:rPr>
          <w:lang w:val="en-NZ"/>
        </w:rPr>
        <w:t>:</w:t>
      </w:r>
    </w:p>
    <w:p w:rsidR="00DD1F84" w:rsidP="00DD1F84" w:rsidRDefault="00DD1F84" w14:paraId="3760C759" w14:textId="77777777">
      <w:pPr>
        <w:pStyle w:val="BodyText2"/>
        <w:ind w:left="360"/>
        <w:rPr>
          <w:lang w:val="en-NZ"/>
        </w:rPr>
      </w:pPr>
    </w:p>
    <w:p w:rsidR="00331F54" w:rsidP="00E364FB" w:rsidRDefault="00331F54" w14:paraId="1DFB1A6D" w14:textId="0ACA1546">
      <w:pPr>
        <w:pStyle w:val="BodyText2"/>
        <w:numPr>
          <w:ilvl w:val="0"/>
          <w:numId w:val="11"/>
        </w:numPr>
        <w:rPr>
          <w:lang w:val="en-NZ"/>
        </w:rPr>
      </w:pPr>
      <w:r>
        <w:rPr>
          <w:lang w:val="en-NZ"/>
        </w:rPr>
        <w:t xml:space="preserve">I do not support a pool of LPS providers. LPS will be requested as set out in the Southern district LPS application noting the following. </w:t>
      </w:r>
    </w:p>
    <w:p w:rsidR="005E1461" w:rsidP="00E364FB" w:rsidRDefault="004941D7" w14:paraId="2C6901C0" w14:textId="20E2203A">
      <w:pPr>
        <w:pStyle w:val="BodyText2"/>
        <w:numPr>
          <w:ilvl w:val="0"/>
          <w:numId w:val="11"/>
        </w:numPr>
        <w:rPr>
          <w:lang w:val="en-NZ"/>
        </w:rPr>
      </w:pPr>
      <w:r w:rsidRPr="00E364FB">
        <w:rPr>
          <w:lang w:val="en-NZ"/>
        </w:rPr>
        <w:t xml:space="preserve">Every effort will be made by the </w:t>
      </w:r>
      <w:r w:rsidR="00331F54">
        <w:rPr>
          <w:lang w:val="en-NZ"/>
        </w:rPr>
        <w:t>d</w:t>
      </w:r>
      <w:r w:rsidRPr="00E364FB">
        <w:rPr>
          <w:lang w:val="en-NZ"/>
        </w:rPr>
        <w:t>istrict to find alternative solutions prior to requesting u</w:t>
      </w:r>
      <w:r w:rsidRPr="00E364FB" w:rsidR="002E1621">
        <w:rPr>
          <w:lang w:val="en-NZ"/>
        </w:rPr>
        <w:t>nion member assistance for the provision of LPS</w:t>
      </w:r>
      <w:r w:rsidRPr="00E364FB">
        <w:rPr>
          <w:lang w:val="en-NZ"/>
        </w:rPr>
        <w:t>.</w:t>
      </w:r>
      <w:r w:rsidR="005E1461">
        <w:rPr>
          <w:lang w:val="en-NZ"/>
        </w:rPr>
        <w:t xml:space="preserve"> This is not business as usual where staff may be moved to address staffing levels across the system or provide cover for sickness that does not make the acuity of the </w:t>
      </w:r>
      <w:r w:rsidR="00EA1A96">
        <w:rPr>
          <w:lang w:val="en-NZ"/>
        </w:rPr>
        <w:t>environment or individual patients</w:t>
      </w:r>
      <w:r w:rsidR="005E1461">
        <w:rPr>
          <w:lang w:val="en-NZ"/>
        </w:rPr>
        <w:t xml:space="preserve"> requir</w:t>
      </w:r>
      <w:r w:rsidR="00EA1A96">
        <w:rPr>
          <w:lang w:val="en-NZ"/>
        </w:rPr>
        <w:t>ing of</w:t>
      </w:r>
      <w:r w:rsidR="005E1461">
        <w:rPr>
          <w:lang w:val="en-NZ"/>
        </w:rPr>
        <w:t xml:space="preserve"> LPS provision.</w:t>
      </w:r>
    </w:p>
    <w:p w:rsidR="00E364FB" w:rsidP="00E364FB" w:rsidRDefault="005E1461" w14:paraId="74E275A6" w14:textId="2C262EE3">
      <w:pPr>
        <w:pStyle w:val="BodyText2"/>
        <w:numPr>
          <w:ilvl w:val="0"/>
          <w:numId w:val="11"/>
        </w:numPr>
        <w:rPr>
          <w:lang w:val="en-NZ"/>
        </w:rPr>
      </w:pPr>
      <w:r>
        <w:rPr>
          <w:lang w:val="en-NZ"/>
        </w:rPr>
        <w:t>T</w:t>
      </w:r>
      <w:r w:rsidR="00E364FB">
        <w:rPr>
          <w:lang w:val="en-NZ"/>
        </w:rPr>
        <w:t xml:space="preserve">his will require careful monitoring of all clinical areas throughout the period of the strike to allow a structured response from the site </w:t>
      </w:r>
      <w:r>
        <w:rPr>
          <w:lang w:val="en-NZ"/>
        </w:rPr>
        <w:t xml:space="preserve">nursing and operational </w:t>
      </w:r>
      <w:r w:rsidR="00E364FB">
        <w:rPr>
          <w:lang w:val="en-NZ"/>
        </w:rPr>
        <w:t>leadership to the request for LPS provision.</w:t>
      </w:r>
    </w:p>
    <w:p w:rsidR="00E364FB" w:rsidP="00E364FB" w:rsidRDefault="00E364FB" w14:paraId="6616F888" w14:textId="6B0A941E">
      <w:pPr>
        <w:pStyle w:val="BodyText2"/>
        <w:ind w:left="720"/>
        <w:rPr>
          <w:lang w:val="en-NZ"/>
        </w:rPr>
      </w:pPr>
      <w:r>
        <w:rPr>
          <w:lang w:val="en-NZ"/>
        </w:rPr>
        <w:t xml:space="preserve">This should include:- </w:t>
      </w:r>
    </w:p>
    <w:p w:rsidRPr="00E364FB" w:rsidR="00E364FB" w:rsidP="00E364FB" w:rsidRDefault="00E364FB" w14:paraId="47E684A5" w14:textId="77777777">
      <w:pPr>
        <w:pStyle w:val="BodyText2"/>
        <w:numPr>
          <w:ilvl w:val="0"/>
          <w:numId w:val="13"/>
        </w:numPr>
        <w:rPr>
          <w:lang w:val="en-NZ"/>
        </w:rPr>
      </w:pPr>
      <w:r w:rsidRPr="00E364FB">
        <w:rPr>
          <w:lang w:val="en-NZ"/>
        </w:rPr>
        <w:t>Confirmation of need for and nature of coverage.</w:t>
      </w:r>
    </w:p>
    <w:p w:rsidRPr="00E364FB" w:rsidR="00E364FB" w:rsidP="00E364FB" w:rsidRDefault="00E364FB" w14:paraId="717B9677" w14:textId="76EF9897">
      <w:pPr>
        <w:pStyle w:val="BodyText2"/>
        <w:numPr>
          <w:ilvl w:val="0"/>
          <w:numId w:val="13"/>
        </w:numPr>
        <w:rPr>
          <w:lang w:val="en-NZ"/>
        </w:rPr>
      </w:pPr>
      <w:r>
        <w:rPr>
          <w:lang w:val="en-NZ"/>
        </w:rPr>
        <w:t xml:space="preserve">Reduction in </w:t>
      </w:r>
      <w:r w:rsidR="00EA1A96">
        <w:rPr>
          <w:lang w:val="en-NZ"/>
        </w:rPr>
        <w:t xml:space="preserve">the </w:t>
      </w:r>
      <w:r w:rsidR="005E1461">
        <w:rPr>
          <w:lang w:val="en-NZ"/>
        </w:rPr>
        <w:t>workload</w:t>
      </w:r>
      <w:r>
        <w:rPr>
          <w:lang w:val="en-NZ"/>
        </w:rPr>
        <w:t xml:space="preserve"> in the area if feasible</w:t>
      </w:r>
      <w:r w:rsidRPr="00E364FB">
        <w:rPr>
          <w:lang w:val="en-NZ"/>
        </w:rPr>
        <w:t>.</w:t>
      </w:r>
    </w:p>
    <w:p w:rsidRPr="00E364FB" w:rsidR="00E364FB" w:rsidP="00E364FB" w:rsidRDefault="00E364FB" w14:paraId="2D483BFB" w14:textId="77777777">
      <w:pPr>
        <w:pStyle w:val="BodyText2"/>
        <w:numPr>
          <w:ilvl w:val="0"/>
          <w:numId w:val="13"/>
        </w:numPr>
        <w:rPr>
          <w:lang w:val="en-NZ"/>
        </w:rPr>
      </w:pPr>
      <w:r w:rsidRPr="00E364FB">
        <w:rPr>
          <w:lang w:val="en-NZ"/>
        </w:rPr>
        <w:t>Deployment of Charge Nurse Manager (CNM), nurse educators, nurse managers or other such nurses not currently rostered to clinical duties to the clinical area in need.</w:t>
      </w:r>
    </w:p>
    <w:p w:rsidR="00E364FB" w:rsidP="00E364FB" w:rsidRDefault="005E1461" w14:paraId="5FF649FD" w14:textId="47F8C1BA">
      <w:pPr>
        <w:pStyle w:val="BodyText2"/>
        <w:numPr>
          <w:ilvl w:val="0"/>
          <w:numId w:val="13"/>
        </w:numPr>
        <w:rPr>
          <w:lang w:val="en-NZ"/>
        </w:rPr>
      </w:pPr>
      <w:r>
        <w:rPr>
          <w:lang w:val="en-NZ"/>
        </w:rPr>
        <w:t>U</w:t>
      </w:r>
      <w:r w:rsidRPr="00E364FB">
        <w:rPr>
          <w:lang w:val="en-NZ"/>
        </w:rPr>
        <w:t>tilisation of any non-union staff on shift to clinical area in need</w:t>
      </w:r>
      <w:r>
        <w:rPr>
          <w:lang w:val="en-NZ"/>
        </w:rPr>
        <w:t xml:space="preserve"> or d</w:t>
      </w:r>
      <w:r w:rsidRPr="00E364FB" w:rsidR="00E364FB">
        <w:rPr>
          <w:lang w:val="en-NZ"/>
        </w:rPr>
        <w:t>eployment of any bureau/casual staff available</w:t>
      </w:r>
      <w:r w:rsidR="00E364FB">
        <w:rPr>
          <w:lang w:val="en-NZ"/>
        </w:rPr>
        <w:t xml:space="preserve">, </w:t>
      </w:r>
      <w:r w:rsidRPr="00E364FB" w:rsidR="00E364FB">
        <w:rPr>
          <w:lang w:val="en-NZ"/>
        </w:rPr>
        <w:t xml:space="preserve">assuming that </w:t>
      </w:r>
      <w:r w:rsidR="00E364FB">
        <w:rPr>
          <w:lang w:val="en-NZ"/>
        </w:rPr>
        <w:t>t</w:t>
      </w:r>
      <w:r w:rsidRPr="00E364FB" w:rsidR="00E364FB">
        <w:rPr>
          <w:lang w:val="en-NZ"/>
        </w:rPr>
        <w:t xml:space="preserve">heir skillset is appropriate for the level of acuity. </w:t>
      </w:r>
    </w:p>
    <w:p w:rsidRPr="00E364FB" w:rsidR="00EA1A96" w:rsidP="00E364FB" w:rsidRDefault="00EA1A96" w14:paraId="6A6012AF" w14:textId="472AD553">
      <w:pPr>
        <w:pStyle w:val="BodyText2"/>
        <w:numPr>
          <w:ilvl w:val="0"/>
          <w:numId w:val="13"/>
        </w:numPr>
        <w:rPr>
          <w:lang w:val="en-NZ"/>
        </w:rPr>
      </w:pPr>
      <w:r>
        <w:rPr>
          <w:lang w:val="en-NZ"/>
        </w:rPr>
        <w:t>The utilisation of any vetted volunteer workforces, if available noting that the potential access to volunteers should not slow down the access to LPS provision. Similarly</w:t>
      </w:r>
      <w:r w:rsidR="003544A5">
        <w:rPr>
          <w:lang w:val="en-NZ"/>
        </w:rPr>
        <w:t>,</w:t>
      </w:r>
      <w:r>
        <w:rPr>
          <w:lang w:val="en-NZ"/>
        </w:rPr>
        <w:t xml:space="preserve"> whanau support should be considered if available but again it must not slow down the provision of LPS in a manner that could impair patient safety. </w:t>
      </w:r>
    </w:p>
    <w:p w:rsidR="005F5A32" w:rsidP="005F5A32" w:rsidRDefault="005F5A32" w14:paraId="40590A5A" w14:textId="77777777">
      <w:pPr>
        <w:pStyle w:val="BodyText2"/>
        <w:rPr>
          <w:lang w:val="en-NZ"/>
        </w:rPr>
      </w:pPr>
    </w:p>
    <w:p w:rsidR="00132F43" w:rsidP="002E1621" w:rsidRDefault="002A70EF" w14:paraId="1174AB53" w14:textId="08EE97A3">
      <w:pPr>
        <w:pStyle w:val="BodyText2"/>
        <w:numPr>
          <w:ilvl w:val="0"/>
          <w:numId w:val="11"/>
        </w:numPr>
        <w:rPr>
          <w:lang w:val="en-NZ"/>
        </w:rPr>
      </w:pPr>
      <w:r>
        <w:rPr>
          <w:lang w:val="en-NZ"/>
        </w:rPr>
        <w:t xml:space="preserve">During the strike, where clinical areas need additional help for LPS support, which may occur as a result of (but not limited to) staff numbers or skill mix, combined acuity of the area, specific acuity of one or more patients, </w:t>
      </w:r>
      <w:r w:rsidR="00E364FB">
        <w:rPr>
          <w:lang w:val="en-NZ"/>
        </w:rPr>
        <w:t>t</w:t>
      </w:r>
      <w:r w:rsidR="005F5A32">
        <w:rPr>
          <w:lang w:val="en-NZ"/>
        </w:rPr>
        <w:t xml:space="preserve">he need for such help will be escalated to the </w:t>
      </w:r>
      <w:r w:rsidRPr="005E1461" w:rsidR="005F5A32">
        <w:rPr>
          <w:lang w:val="en-NZ"/>
        </w:rPr>
        <w:t>Duty Manager</w:t>
      </w:r>
      <w:r w:rsidR="009341BF">
        <w:rPr>
          <w:lang w:val="en-NZ"/>
        </w:rPr>
        <w:t xml:space="preserve"> or designated nurse in charge depending on the time of the day, </w:t>
      </w:r>
      <w:r w:rsidR="005F5A32">
        <w:rPr>
          <w:lang w:val="en-NZ"/>
        </w:rPr>
        <w:t xml:space="preserve"> who will seek the assistance of the </w:t>
      </w:r>
      <w:r w:rsidR="005E1461">
        <w:rPr>
          <w:lang w:val="en-NZ"/>
        </w:rPr>
        <w:t xml:space="preserve">Integrated </w:t>
      </w:r>
      <w:r w:rsidR="005F5A32">
        <w:rPr>
          <w:lang w:val="en-NZ"/>
        </w:rPr>
        <w:t>Operations Centres in hours during the week</w:t>
      </w:r>
      <w:r w:rsidR="00E364FB">
        <w:rPr>
          <w:lang w:val="en-NZ"/>
        </w:rPr>
        <w:t xml:space="preserve"> to facilitate the process outlined above</w:t>
      </w:r>
      <w:r w:rsidR="009341BF">
        <w:rPr>
          <w:lang w:val="en-NZ"/>
        </w:rPr>
        <w:t xml:space="preserve">. </w:t>
      </w:r>
      <w:r w:rsidR="005E1461">
        <w:rPr>
          <w:lang w:val="en-NZ"/>
        </w:rPr>
        <w:t xml:space="preserve">Noting that the process </w:t>
      </w:r>
      <w:r w:rsidR="00EA1A96">
        <w:rPr>
          <w:lang w:val="en-NZ"/>
        </w:rPr>
        <w:t xml:space="preserve">may </w:t>
      </w:r>
      <w:r w:rsidR="005E1461">
        <w:rPr>
          <w:lang w:val="en-NZ"/>
        </w:rPr>
        <w:t>be different out of hours.</w:t>
      </w:r>
      <w:r w:rsidR="005B12F6">
        <w:rPr>
          <w:lang w:val="en-NZ"/>
        </w:rPr>
        <w:t xml:space="preserve"> The out of hours process must be made clear to the NZNO on each site to facilitate </w:t>
      </w:r>
      <w:r w:rsidR="00331F54">
        <w:rPr>
          <w:lang w:val="en-NZ"/>
        </w:rPr>
        <w:t xml:space="preserve">clear </w:t>
      </w:r>
      <w:r w:rsidR="005B12F6">
        <w:rPr>
          <w:lang w:val="en-NZ"/>
        </w:rPr>
        <w:t xml:space="preserve">communication. </w:t>
      </w:r>
    </w:p>
    <w:p w:rsidRPr="002E1621" w:rsidR="002E1621" w:rsidP="00132F43" w:rsidRDefault="005E1461" w14:paraId="591605F3" w14:textId="262C6D95">
      <w:pPr>
        <w:pStyle w:val="BodyText2"/>
        <w:ind w:left="720"/>
        <w:rPr>
          <w:lang w:val="en-NZ"/>
        </w:rPr>
      </w:pPr>
      <w:r>
        <w:rPr>
          <w:lang w:val="en-NZ"/>
        </w:rPr>
        <w:t xml:space="preserve"> </w:t>
      </w:r>
    </w:p>
    <w:p w:rsidR="005F5A32" w:rsidP="005F5A32" w:rsidRDefault="005F5A32" w14:paraId="23D25628" w14:textId="77777777">
      <w:pPr>
        <w:pStyle w:val="BodyText2"/>
        <w:rPr>
          <w:lang w:val="en-NZ"/>
        </w:rPr>
      </w:pPr>
    </w:p>
    <w:p w:rsidR="005F5A32" w:rsidP="00566890" w:rsidRDefault="00E364FB" w14:paraId="4BFB41FC" w14:textId="5A0E62BD">
      <w:pPr>
        <w:pStyle w:val="BodyText2"/>
        <w:numPr>
          <w:ilvl w:val="0"/>
          <w:numId w:val="11"/>
        </w:numPr>
        <w:rPr>
          <w:lang w:val="en-NZ"/>
        </w:rPr>
      </w:pPr>
      <w:r w:rsidRPr="00E364FB">
        <w:rPr>
          <w:lang w:val="en-NZ"/>
        </w:rPr>
        <w:t xml:space="preserve">The duty manager will contact the named delegate for that shift to inform them of the need for a union member, along with the skillset required for the area in question, this should follow a good faith process without unnecessary litigation of the request in the moment. </w:t>
      </w:r>
    </w:p>
    <w:p w:rsidR="00132F43" w:rsidP="00132F43" w:rsidRDefault="00132F43" w14:paraId="18970662" w14:textId="77777777">
      <w:pPr>
        <w:pStyle w:val="BodyText2"/>
        <w:ind w:left="720"/>
        <w:rPr>
          <w:lang w:val="en-NZ"/>
        </w:rPr>
      </w:pPr>
    </w:p>
    <w:p w:rsidR="00132F43" w:rsidP="00132F43" w:rsidRDefault="00132F43" w14:paraId="3216292C" w14:textId="4983C2C0">
      <w:pPr>
        <w:pStyle w:val="BodyText2"/>
        <w:numPr>
          <w:ilvl w:val="0"/>
          <w:numId w:val="11"/>
        </w:numPr>
        <w:rPr>
          <w:lang w:val="en-NZ"/>
        </w:rPr>
      </w:pPr>
      <w:r>
        <w:rPr>
          <w:lang w:val="en-NZ"/>
        </w:rPr>
        <w:t xml:space="preserve">NZNO will provide a roster of named delegates who will be the contact for each shift covering for this process. </w:t>
      </w:r>
    </w:p>
    <w:p w:rsidRPr="00E364FB" w:rsidR="00E364FB" w:rsidP="00E364FB" w:rsidRDefault="00E364FB" w14:paraId="086FC099" w14:textId="77777777">
      <w:pPr>
        <w:pStyle w:val="BodyText2"/>
        <w:rPr>
          <w:lang w:val="en-NZ"/>
        </w:rPr>
      </w:pPr>
    </w:p>
    <w:p w:rsidR="005F5A32" w:rsidP="00341764" w:rsidRDefault="00E364FB" w14:paraId="24328F1B" w14:textId="0644183A">
      <w:pPr>
        <w:pStyle w:val="BodyText2"/>
        <w:numPr>
          <w:ilvl w:val="0"/>
          <w:numId w:val="11"/>
        </w:numPr>
        <w:rPr>
          <w:lang w:val="en-NZ"/>
        </w:rPr>
      </w:pPr>
      <w:r w:rsidRPr="00E364FB">
        <w:rPr>
          <w:lang w:val="en-NZ"/>
        </w:rPr>
        <w:t xml:space="preserve">In our highest acuity areas </w:t>
      </w:r>
      <w:r w:rsidRPr="00E364FB" w:rsidR="007E517D">
        <w:rPr>
          <w:lang w:val="en-NZ"/>
        </w:rPr>
        <w:t>e</w:t>
      </w:r>
      <w:r w:rsidRPr="00E364FB">
        <w:rPr>
          <w:lang w:val="en-NZ"/>
        </w:rPr>
        <w:t>.</w:t>
      </w:r>
      <w:r w:rsidRPr="00E364FB" w:rsidR="007E517D">
        <w:rPr>
          <w:lang w:val="en-NZ"/>
        </w:rPr>
        <w:t>g</w:t>
      </w:r>
      <w:r w:rsidRPr="00E364FB">
        <w:rPr>
          <w:lang w:val="en-NZ"/>
        </w:rPr>
        <w:t>.</w:t>
      </w:r>
      <w:r w:rsidRPr="00E364FB" w:rsidR="007E517D">
        <w:rPr>
          <w:lang w:val="en-NZ"/>
        </w:rPr>
        <w:t xml:space="preserve"> Intensive Care, </w:t>
      </w:r>
      <w:r w:rsidRPr="00E364FB" w:rsidR="00CB42FC">
        <w:rPr>
          <w:lang w:val="en-NZ"/>
        </w:rPr>
        <w:t>M</w:t>
      </w:r>
      <w:r w:rsidRPr="00E364FB" w:rsidR="007E517D">
        <w:rPr>
          <w:lang w:val="en-NZ"/>
        </w:rPr>
        <w:t>aternity</w:t>
      </w:r>
      <w:r w:rsidRPr="00E364FB">
        <w:rPr>
          <w:lang w:val="en-NZ"/>
        </w:rPr>
        <w:t xml:space="preserve"> and ED it is important that rapid movement of staff is facilitated to preserve patient safety. </w:t>
      </w:r>
    </w:p>
    <w:p w:rsidRPr="00E364FB" w:rsidR="00E364FB" w:rsidP="00E364FB" w:rsidRDefault="00E364FB" w14:paraId="0269D198" w14:textId="77777777">
      <w:pPr>
        <w:pStyle w:val="BodyText2"/>
        <w:rPr>
          <w:lang w:val="en-NZ"/>
        </w:rPr>
      </w:pPr>
    </w:p>
    <w:p w:rsidR="005F5A32" w:rsidP="007E517D" w:rsidRDefault="005F5A32" w14:paraId="7F32D661" w14:textId="660AE214">
      <w:pPr>
        <w:pStyle w:val="BodyText2"/>
        <w:numPr>
          <w:ilvl w:val="0"/>
          <w:numId w:val="11"/>
        </w:numPr>
        <w:rPr>
          <w:lang w:val="en-NZ"/>
        </w:rPr>
      </w:pPr>
      <w:r>
        <w:rPr>
          <w:lang w:val="en-NZ"/>
        </w:rPr>
        <w:t xml:space="preserve">A checklist of actions taken will be maintained by the </w:t>
      </w:r>
      <w:r w:rsidR="005E1461">
        <w:rPr>
          <w:lang w:val="en-NZ"/>
        </w:rPr>
        <w:t xml:space="preserve">Integrated </w:t>
      </w:r>
      <w:r w:rsidRPr="005E1461">
        <w:rPr>
          <w:lang w:val="en-NZ"/>
        </w:rPr>
        <w:t>Operations Centre</w:t>
      </w:r>
      <w:r w:rsidR="00EA1A96">
        <w:rPr>
          <w:lang w:val="en-NZ"/>
        </w:rPr>
        <w:t xml:space="preserve"> (IOC)</w:t>
      </w:r>
      <w:r>
        <w:rPr>
          <w:lang w:val="en-NZ"/>
        </w:rPr>
        <w:t xml:space="preserve"> on each site to document the process followed and keep a log of requests. </w:t>
      </w:r>
      <w:r w:rsidR="00EA1A96">
        <w:rPr>
          <w:lang w:val="en-NZ"/>
        </w:rPr>
        <w:t>Similar records will be maintained on our sites with their own IOC.</w:t>
      </w:r>
    </w:p>
    <w:p w:rsidR="005F5A32" w:rsidP="005F5A32" w:rsidRDefault="005F5A32" w14:paraId="169E6362" w14:textId="77777777">
      <w:pPr>
        <w:pStyle w:val="BodyText2"/>
        <w:rPr>
          <w:lang w:val="en-NZ"/>
        </w:rPr>
      </w:pPr>
    </w:p>
    <w:p w:rsidRPr="00D23258" w:rsidR="00D23258" w:rsidP="00D23258" w:rsidRDefault="00D23258" w14:paraId="47C17B44" w14:textId="77777777">
      <w:pPr>
        <w:pStyle w:val="BodyText2"/>
        <w:rPr>
          <w:lang w:val="en-NZ"/>
        </w:rPr>
      </w:pPr>
    </w:p>
    <w:p w:rsidR="005F5A32" w:rsidP="007E517D" w:rsidRDefault="005F5A32" w14:paraId="757BCEAF" w14:textId="6F1B70A7">
      <w:pPr>
        <w:pStyle w:val="BodyText2"/>
        <w:numPr>
          <w:ilvl w:val="0"/>
          <w:numId w:val="11"/>
        </w:numPr>
        <w:rPr>
          <w:lang w:val="en-NZ"/>
        </w:rPr>
      </w:pPr>
      <w:r>
        <w:rPr>
          <w:lang w:val="en-NZ"/>
        </w:rPr>
        <w:t>Theatre and clinic lists will be reviewed to schedule</w:t>
      </w:r>
      <w:r w:rsidR="00D23258">
        <w:rPr>
          <w:lang w:val="en-NZ"/>
        </w:rPr>
        <w:t xml:space="preserve"> procedures to allow completion within shift times of union members. It </w:t>
      </w:r>
      <w:r w:rsidR="00EA1A96">
        <w:rPr>
          <w:lang w:val="en-NZ"/>
        </w:rPr>
        <w:t>must be recognised</w:t>
      </w:r>
      <w:r w:rsidR="00D23258">
        <w:rPr>
          <w:lang w:val="en-NZ"/>
        </w:rPr>
        <w:t xml:space="preserve"> by both parties, that despite this planning it is not </w:t>
      </w:r>
      <w:r w:rsidR="00EA1A96">
        <w:rPr>
          <w:lang w:val="en-NZ"/>
        </w:rPr>
        <w:t xml:space="preserve">always </w:t>
      </w:r>
      <w:r w:rsidR="00D23258">
        <w:rPr>
          <w:lang w:val="en-NZ"/>
        </w:rPr>
        <w:t xml:space="preserve">possible to guarantee that there will not be an overrun due to unforeseen </w:t>
      </w:r>
      <w:r w:rsidR="00D23258">
        <w:rPr>
          <w:lang w:val="en-NZ"/>
        </w:rPr>
        <w:lastRenderedPageBreak/>
        <w:t xml:space="preserve">circumstances and this </w:t>
      </w:r>
      <w:r w:rsidR="00EA1A96">
        <w:rPr>
          <w:lang w:val="en-NZ"/>
        </w:rPr>
        <w:t>should</w:t>
      </w:r>
      <w:r w:rsidR="00D23258">
        <w:rPr>
          <w:lang w:val="en-NZ"/>
        </w:rPr>
        <w:t xml:space="preserve"> be accommodated. </w:t>
      </w:r>
      <w:r w:rsidR="00132F43">
        <w:rPr>
          <w:lang w:val="en-NZ"/>
        </w:rPr>
        <w:t xml:space="preserve">Where absence can be anticipated, i.e. notified sickness then planned care </w:t>
      </w:r>
      <w:r w:rsidR="00EA1A96">
        <w:rPr>
          <w:lang w:val="en-NZ"/>
        </w:rPr>
        <w:t xml:space="preserve">should </w:t>
      </w:r>
      <w:r w:rsidR="00132F43">
        <w:rPr>
          <w:lang w:val="en-NZ"/>
        </w:rPr>
        <w:t>be reviewed in light of this</w:t>
      </w:r>
      <w:r w:rsidR="00EA1A96">
        <w:rPr>
          <w:lang w:val="en-NZ"/>
        </w:rPr>
        <w:t xml:space="preserve">, and reduced if practicable </w:t>
      </w:r>
      <w:r w:rsidR="00132F43">
        <w:rPr>
          <w:lang w:val="en-NZ"/>
        </w:rPr>
        <w:t xml:space="preserve">to manage </w:t>
      </w:r>
      <w:r w:rsidR="00EA1A96">
        <w:rPr>
          <w:lang w:val="en-NZ"/>
        </w:rPr>
        <w:t xml:space="preserve">the </w:t>
      </w:r>
      <w:r w:rsidR="00132F43">
        <w:rPr>
          <w:lang w:val="en-NZ"/>
        </w:rPr>
        <w:t>capacity</w:t>
      </w:r>
      <w:r w:rsidR="00EA1A96">
        <w:rPr>
          <w:lang w:val="en-NZ"/>
        </w:rPr>
        <w:t xml:space="preserve"> within the area. LPS should not be requested to cover such absences unless they meet the threshold where planned care cannot be deferred. </w:t>
      </w:r>
    </w:p>
    <w:p w:rsidRPr="002E1621" w:rsidR="005F5A32" w:rsidP="005F5A32" w:rsidRDefault="005F5A32" w14:paraId="2CA55E55" w14:textId="77777777">
      <w:pPr>
        <w:pStyle w:val="BodyText2"/>
        <w:rPr>
          <w:lang w:val="en-NZ"/>
        </w:rPr>
      </w:pPr>
    </w:p>
    <w:p w:rsidR="00CB42FC" w:rsidP="00CB42FC" w:rsidRDefault="00CB42FC" w14:paraId="4F784374" w14:textId="77777777">
      <w:pPr>
        <w:pStyle w:val="BodyText2"/>
        <w:ind w:left="720"/>
        <w:rPr>
          <w:lang w:val="en-NZ"/>
        </w:rPr>
      </w:pPr>
    </w:p>
    <w:p w:rsidR="00CB42FC" w:rsidP="00CB42FC" w:rsidRDefault="00CB42FC" w14:paraId="53C098F0" w14:textId="77777777">
      <w:pPr>
        <w:pStyle w:val="ListParagraph"/>
        <w:rPr>
          <w:lang w:val="en-NZ"/>
        </w:rPr>
      </w:pPr>
    </w:p>
    <w:p w:rsidR="00CB42FC" w:rsidP="00CB42FC" w:rsidRDefault="00CB42FC" w14:paraId="13AF9532" w14:textId="77777777">
      <w:pPr>
        <w:pStyle w:val="BodyText2"/>
        <w:ind w:left="720"/>
        <w:rPr>
          <w:lang w:val="en-NZ"/>
        </w:rPr>
      </w:pPr>
    </w:p>
    <w:p w:rsidR="002E1621" w:rsidP="002E1621" w:rsidRDefault="002E1621" w14:paraId="77553E0F" w14:textId="3DD0B9C3">
      <w:pPr>
        <w:pStyle w:val="BodyText2"/>
        <w:numPr>
          <w:ilvl w:val="0"/>
          <w:numId w:val="11"/>
        </w:numPr>
        <w:rPr>
          <w:lang w:val="en-NZ"/>
        </w:rPr>
      </w:pPr>
      <w:r w:rsidRPr="002E1621">
        <w:rPr>
          <w:lang w:val="en-NZ"/>
        </w:rPr>
        <w:t xml:space="preserve">Clause 12(5)c emergency protocols may be activated by the </w:t>
      </w:r>
      <w:r w:rsidRPr="002E1621" w:rsidR="001B2B46">
        <w:rPr>
          <w:lang w:val="en-NZ"/>
        </w:rPr>
        <w:t>district</w:t>
      </w:r>
      <w:r w:rsidRPr="002E1621">
        <w:rPr>
          <w:lang w:val="en-NZ"/>
        </w:rPr>
        <w:t xml:space="preserve"> during the strike period</w:t>
      </w:r>
      <w:r w:rsidR="00CB42FC">
        <w:rPr>
          <w:lang w:val="en-NZ"/>
        </w:rPr>
        <w:t xml:space="preserve"> in response to events as defined in that clause</w:t>
      </w:r>
      <w:r w:rsidRPr="002E1621">
        <w:rPr>
          <w:lang w:val="en-NZ"/>
        </w:rPr>
        <w:t>, with immediate notification to NZNO.</w:t>
      </w:r>
      <w:r w:rsidR="005F5A32">
        <w:rPr>
          <w:lang w:val="en-NZ"/>
        </w:rPr>
        <w:t xml:space="preserve"> Following this all actions needed to ensure patient care will be taken as needed.</w:t>
      </w:r>
      <w:r w:rsidR="003544A5">
        <w:rPr>
          <w:lang w:val="en-NZ"/>
        </w:rPr>
        <w:t xml:space="preserve"> I confirm my agreement with the wording put forward in the Southern District LPS request. </w:t>
      </w:r>
    </w:p>
    <w:p w:rsidRPr="002E1621" w:rsidR="005F5A32" w:rsidP="005F5A32" w:rsidRDefault="005F5A32" w14:paraId="72E2E437" w14:textId="77777777">
      <w:pPr>
        <w:pStyle w:val="BodyText2"/>
        <w:rPr>
          <w:lang w:val="en-NZ"/>
        </w:rPr>
      </w:pPr>
    </w:p>
    <w:p w:rsidR="002E1621" w:rsidP="002E1621" w:rsidRDefault="002E1621" w14:paraId="4BB89C02" w14:textId="4BC456D0">
      <w:pPr>
        <w:pStyle w:val="BodyText2"/>
        <w:numPr>
          <w:ilvl w:val="0"/>
          <w:numId w:val="11"/>
        </w:numPr>
        <w:rPr>
          <w:lang w:val="en-NZ"/>
        </w:rPr>
      </w:pPr>
      <w:r w:rsidRPr="002E1621">
        <w:rPr>
          <w:lang w:val="en-NZ"/>
        </w:rPr>
        <w:t xml:space="preserve">Both parties shall continue to engage in good faith, with a commitment to reassess LPS needs </w:t>
      </w:r>
      <w:r w:rsidR="00D23258">
        <w:rPr>
          <w:lang w:val="en-NZ"/>
        </w:rPr>
        <w:t xml:space="preserve">and </w:t>
      </w:r>
      <w:r w:rsidR="003544A5">
        <w:rPr>
          <w:lang w:val="en-NZ"/>
        </w:rPr>
        <w:t>the delivery of this</w:t>
      </w:r>
      <w:r w:rsidR="00D23258">
        <w:rPr>
          <w:lang w:val="en-NZ"/>
        </w:rPr>
        <w:t xml:space="preserve"> </w:t>
      </w:r>
      <w:r w:rsidR="00695140">
        <w:rPr>
          <w:lang w:val="en-NZ"/>
        </w:rPr>
        <w:t>regularly</w:t>
      </w:r>
      <w:r w:rsidRPr="002E1621">
        <w:rPr>
          <w:lang w:val="en-NZ"/>
        </w:rPr>
        <w:t xml:space="preserve"> during the strike.</w:t>
      </w:r>
    </w:p>
    <w:p w:rsidR="003544A5" w:rsidP="003544A5" w:rsidRDefault="003544A5" w14:paraId="1015EABC" w14:textId="77777777">
      <w:pPr>
        <w:pStyle w:val="ListParagraph"/>
        <w:rPr>
          <w:lang w:val="en-NZ"/>
        </w:rPr>
      </w:pPr>
    </w:p>
    <w:p w:rsidRPr="002E1621" w:rsidR="003544A5" w:rsidP="002E1621" w:rsidRDefault="003544A5" w14:paraId="71F64730" w14:textId="51F931CF">
      <w:pPr>
        <w:pStyle w:val="BodyText2"/>
        <w:numPr>
          <w:ilvl w:val="0"/>
          <w:numId w:val="11"/>
        </w:numPr>
        <w:rPr>
          <w:lang w:val="en-NZ"/>
        </w:rPr>
      </w:pPr>
      <w:r>
        <w:rPr>
          <w:lang w:val="en-NZ"/>
        </w:rPr>
        <w:t xml:space="preserve">In summary I accept and support all components of the LPS request submitted by the Southern District contingent upon the above principles being adhered to. </w:t>
      </w:r>
    </w:p>
    <w:p w:rsidR="00D23258" w:rsidP="002E1621" w:rsidRDefault="00D23258" w14:paraId="61FBF329" w14:textId="77777777">
      <w:pPr>
        <w:pStyle w:val="BodyText2"/>
        <w:rPr>
          <w:lang w:val="en-NZ"/>
        </w:rPr>
      </w:pPr>
    </w:p>
    <w:p w:rsidRPr="00695140" w:rsidR="002E1621" w:rsidP="00D31C14" w:rsidRDefault="002E1621" w14:paraId="020A0953" w14:textId="62F58F64">
      <w:pPr>
        <w:pStyle w:val="BodyText2"/>
        <w:rPr>
          <w:lang w:val="en-NZ"/>
        </w:rPr>
      </w:pPr>
      <w:r w:rsidRPr="002E1621">
        <w:rPr>
          <w:lang w:val="en-NZ"/>
        </w:rPr>
        <w:t xml:space="preserve">This determination is made in accordance with the principles of the Code of Good Faith for the Public Health Sector, with the overriding priority being the safety and wellbeing of patients and staff. </w:t>
      </w:r>
    </w:p>
    <w:p w:rsidR="001C18DB" w:rsidP="00D31C14" w:rsidRDefault="001C18DB" w14:paraId="42DDBB8A" w14:textId="1A541758">
      <w:pPr>
        <w:pStyle w:val="BodyText2"/>
        <w:rPr>
          <w:szCs w:val="22"/>
        </w:rPr>
      </w:pPr>
    </w:p>
    <w:p w:rsidR="00D31C14" w:rsidP="00D31C14" w:rsidRDefault="00D23258" w14:paraId="13A423DE" w14:textId="424EF707">
      <w:pPr>
        <w:pStyle w:val="BodyText2"/>
        <w:rPr>
          <w:szCs w:val="22"/>
        </w:rPr>
      </w:pPr>
      <w:proofErr w:type="spellStart"/>
      <w:r>
        <w:rPr>
          <w:szCs w:val="22"/>
        </w:rPr>
        <w:t>Ngā</w:t>
      </w:r>
      <w:proofErr w:type="spellEnd"/>
      <w:r>
        <w:rPr>
          <w:szCs w:val="22"/>
        </w:rPr>
        <w:t xml:space="preserve"> mihi</w:t>
      </w:r>
      <w:r w:rsidR="00571B6E">
        <w:rPr>
          <w:szCs w:val="22"/>
        </w:rPr>
        <w:t>,</w:t>
      </w:r>
    </w:p>
    <w:p w:rsidR="00D23258" w:rsidP="00D31C14" w:rsidRDefault="00D23258" w14:paraId="738ED321" w14:textId="64BE7C29">
      <w:pPr>
        <w:pStyle w:val="BodyText2"/>
        <w:rPr>
          <w:szCs w:val="22"/>
        </w:rPr>
      </w:pPr>
    </w:p>
    <w:p w:rsidR="00E364FB" w:rsidP="00D31C14" w:rsidRDefault="00E364FB" w14:paraId="3C5E2D2D" w14:textId="77777777">
      <w:pPr>
        <w:pStyle w:val="BodyText2"/>
        <w:rPr>
          <w:szCs w:val="22"/>
        </w:rPr>
      </w:pPr>
    </w:p>
    <w:p w:rsidRPr="00A4210F" w:rsidR="00D23258" w:rsidP="00D31C14" w:rsidRDefault="00E364FB" w14:paraId="3419826E" w14:textId="6AFB0E3D">
      <w:pPr>
        <w:pStyle w:val="BodyText2"/>
        <w:rPr>
          <w:szCs w:val="22"/>
        </w:rPr>
      </w:pPr>
      <w:r>
        <w:rPr>
          <w:noProof/>
          <w:szCs w:val="22"/>
        </w:rPr>
        <w:drawing>
          <wp:inline distT="0" distB="0" distL="0" distR="0" wp14:anchorId="26287F72" wp14:editId="19F9090F">
            <wp:extent cx="172402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923925"/>
                    </a:xfrm>
                    <a:prstGeom prst="rect">
                      <a:avLst/>
                    </a:prstGeom>
                    <a:noFill/>
                  </pic:spPr>
                </pic:pic>
              </a:graphicData>
            </a:graphic>
          </wp:inline>
        </w:drawing>
      </w:r>
    </w:p>
    <w:p w:rsidR="00D31C14" w:rsidP="00B01D84" w:rsidRDefault="00D31C14" w14:paraId="1B00C18F" w14:textId="023DDB62">
      <w:pPr>
        <w:pStyle w:val="BodyText2"/>
        <w:ind w:left="-142"/>
        <w:rPr>
          <w:szCs w:val="22"/>
        </w:rPr>
      </w:pPr>
    </w:p>
    <w:p w:rsidR="00D31C14" w:rsidP="00D31C14" w:rsidRDefault="00E364FB" w14:paraId="1819961E" w14:textId="46BFDEEF">
      <w:pPr>
        <w:spacing w:after="0"/>
        <w:ind w:left="6"/>
        <w:rPr>
          <w:bCs/>
          <w:color w:val="1C2549"/>
          <w:spacing w:val="-2"/>
          <w:sz w:val="20"/>
        </w:rPr>
      </w:pPr>
      <w:r w:rsidRPr="00E364FB">
        <w:rPr>
          <w:noProof/>
        </w:rPr>
        <w:drawing>
          <wp:inline distT="0" distB="0" distL="0" distR="0" wp14:anchorId="49D85310" wp14:editId="3F8E7344">
            <wp:extent cx="6106795" cy="641985"/>
            <wp:effectExtent l="0" t="0" r="825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6795" cy="641985"/>
                    </a:xfrm>
                    <a:prstGeom prst="rect">
                      <a:avLst/>
                    </a:prstGeom>
                  </pic:spPr>
                </pic:pic>
              </a:graphicData>
            </a:graphic>
          </wp:inline>
        </w:drawing>
      </w:r>
    </w:p>
    <w:p w:rsidR="00626DDC" w:rsidP="00D31C14" w:rsidRDefault="00626DDC" w14:paraId="22979747" w14:textId="2C935317">
      <w:pPr>
        <w:spacing w:after="0"/>
        <w:ind w:left="6"/>
        <w:rPr>
          <w:bCs/>
          <w:color w:val="1C2549"/>
          <w:spacing w:val="-2"/>
          <w:sz w:val="20"/>
        </w:rPr>
      </w:pPr>
    </w:p>
    <w:p w:rsidR="004F6807" w:rsidP="001C18DB" w:rsidRDefault="00626DDC" w14:paraId="3876DDEC" w14:textId="44AEAF6E">
      <w:pPr>
        <w:tabs>
          <w:tab w:val="left" w:pos="1134"/>
        </w:tabs>
        <w:spacing w:after="0"/>
        <w:ind w:left="6"/>
        <w:rPr>
          <w:bCs/>
          <w:color w:val="1C2549"/>
          <w:spacing w:val="-2"/>
          <w:sz w:val="20"/>
        </w:rPr>
      </w:pPr>
      <w:r>
        <w:rPr>
          <w:bCs/>
          <w:color w:val="1C2549"/>
          <w:spacing w:val="-2"/>
          <w:sz w:val="20"/>
        </w:rPr>
        <w:t>Copy to</w:t>
      </w:r>
      <w:r>
        <w:rPr>
          <w:bCs/>
          <w:color w:val="1C2549"/>
          <w:spacing w:val="-2"/>
          <w:sz w:val="20"/>
        </w:rPr>
        <w:tab/>
      </w:r>
      <w:r w:rsidR="001C18DB">
        <w:rPr>
          <w:bCs/>
          <w:color w:val="1C2549"/>
          <w:spacing w:val="-2"/>
          <w:sz w:val="20"/>
        </w:rPr>
        <w:t>Anne Aitcheson, National Contingency Planner</w:t>
      </w:r>
    </w:p>
    <w:sectPr w:rsidR="004F6807" w:rsidSect="00281E30">
      <w:headerReference w:type="default" r:id="rId15"/>
      <w:headerReference w:type="first" r:id="rId16"/>
      <w:footerReference w:type="first" r:id="rId17"/>
      <w:pgSz w:w="11906" w:h="16838" w:orient="portrait"/>
      <w:pgMar w:top="1440" w:right="849" w:bottom="1440" w:left="144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ADF" w:rsidP="00EB3422" w:rsidRDefault="009B6ADF" w14:paraId="4B9067C2" w14:textId="77777777">
      <w:r>
        <w:separator/>
      </w:r>
    </w:p>
  </w:endnote>
  <w:endnote w:type="continuationSeparator" w:id="0">
    <w:p w:rsidR="009B6ADF" w:rsidP="00EB3422" w:rsidRDefault="009B6ADF" w14:paraId="7E489341" w14:textId="77777777">
      <w:r>
        <w:continuationSeparator/>
      </w:r>
    </w:p>
  </w:endnote>
  <w:endnote w:type="continuationNotice" w:id="1">
    <w:p w:rsidR="009B6ADF" w:rsidRDefault="009B6ADF" w14:paraId="3B32F5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inorBid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903868514"/>
      <w:docPartObj>
        <w:docPartGallery w:val="Page Numbers (Bottom of Page)"/>
        <w:docPartUnique/>
      </w:docPartObj>
    </w:sdtPr>
    <w:sdtEndPr>
      <w:rPr>
        <w:noProof/>
      </w:rPr>
    </w:sdtEndPr>
    <w:sdtContent>
      <w:p w:rsidR="00684CAC" w:rsidRDefault="00000000" w14:paraId="7E08B06D" w14:textId="6633394D">
        <w:pPr>
          <w:pStyle w:val="Footer"/>
          <w:jc w:val="center"/>
        </w:pPr>
      </w:p>
    </w:sdtContent>
  </w:sdt>
  <w:p w:rsidR="003A10C8" w:rsidRDefault="00A92D1C" w14:paraId="1EB45E59" w14:textId="78300AAF">
    <w:pPr>
      <w:pStyle w:val="Footer"/>
    </w:pPr>
    <w:r>
      <w:rPr>
        <w:noProof/>
      </w:rPr>
      <w:drawing>
        <wp:anchor distT="0" distB="0" distL="114300" distR="114300" simplePos="0" relativeHeight="251658240" behindDoc="1" locked="0" layoutInCell="1" allowOverlap="1" wp14:anchorId="4875AAAD" wp14:editId="6616D5B5">
          <wp:simplePos x="0" y="0"/>
          <wp:positionH relativeFrom="page">
            <wp:posOffset>7699375</wp:posOffset>
          </wp:positionH>
          <wp:positionV relativeFrom="paragraph">
            <wp:posOffset>161925</wp:posOffset>
          </wp:positionV>
          <wp:extent cx="7539990" cy="942340"/>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ADF" w:rsidP="00EB3422" w:rsidRDefault="009B6ADF" w14:paraId="2D148B94" w14:textId="77777777">
      <w:r>
        <w:separator/>
      </w:r>
    </w:p>
  </w:footnote>
  <w:footnote w:type="continuationSeparator" w:id="0">
    <w:p w:rsidR="009B6ADF" w:rsidP="00EB3422" w:rsidRDefault="009B6ADF" w14:paraId="6E403EA2" w14:textId="77777777">
      <w:r>
        <w:continuationSeparator/>
      </w:r>
    </w:p>
  </w:footnote>
  <w:footnote w:type="continuationNotice" w:id="1">
    <w:p w:rsidR="009B6ADF" w:rsidRDefault="009B6ADF" w14:paraId="3F85AD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2388" w:rsidP="00E053FF" w:rsidRDefault="00E053FF" w14:paraId="5313F84C" w14:textId="3F8A7E26">
    <w:pPr>
      <w:pStyle w:val="Header"/>
      <w:tabs>
        <w:tab w:val="clear" w:pos="4513"/>
        <w:tab w:val="clear" w:pos="9026"/>
        <w:tab w:val="left" w:pos="3603"/>
      </w:tabs>
    </w:pPr>
    <w:r>
      <w:rPr>
        <w:rFonts w:ascii="Poppins" w:hAnsi="Poppins" w:eastAsia="Roboto" w:cs="Poppins"/>
        <w:b/>
        <w:bCs/>
        <w:noProof/>
        <w:kern w:val="22"/>
        <w:sz w:val="48"/>
        <w:szCs w:val="48"/>
        <w:lang w:val="en-NZ"/>
      </w:rPr>
      <w:drawing>
        <wp:anchor distT="0" distB="0" distL="114300" distR="114300" simplePos="0" relativeHeight="251688960" behindDoc="1" locked="0" layoutInCell="1" allowOverlap="1" wp14:anchorId="528A0A36" wp14:editId="2302DAA4">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sidR="009C2388">
      <w:rPr>
        <w:rFonts w:ascii="Poppins" w:hAnsi="Poppins" w:eastAsia="Roboto" w:cs="Poppins"/>
        <w:b/>
        <w:bCs/>
        <w:noProof/>
        <w:kern w:val="22"/>
        <w:sz w:val="48"/>
        <w:szCs w:val="48"/>
        <w:lang w:val="en-NZ"/>
      </w:rPr>
      <w:drawing>
        <wp:anchor distT="0" distB="0" distL="114300" distR="114300" simplePos="0" relativeHeight="251687936" behindDoc="1" locked="0" layoutInCell="1" allowOverlap="1" wp14:anchorId="7F4710F0" wp14:editId="2DF739C9">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43C4" w:rsidRDefault="00B72FC5" w14:paraId="53754B5A" w14:textId="15115D98">
    <w:pPr>
      <w:pStyle w:val="Header"/>
    </w:pPr>
    <w:r w:rsidRPr="004B7053">
      <w:rPr>
        <w:rFonts w:ascii="Poppins" w:hAnsi="Poppins" w:eastAsia="Roboto" w:cs="Poppins"/>
        <w:b/>
        <w:bCs/>
        <w:noProof/>
        <w:kern w:val="22"/>
        <w:sz w:val="48"/>
        <w:szCs w:val="48"/>
        <w:lang w:val="en-NZ"/>
      </w:rPr>
      <w:drawing>
        <wp:anchor distT="0" distB="0" distL="114300" distR="114300" simplePos="0" relativeHeight="251684864" behindDoc="1" locked="0" layoutInCell="1" allowOverlap="1" wp14:anchorId="564045B7" wp14:editId="39377100">
          <wp:simplePos x="0" y="0"/>
          <wp:positionH relativeFrom="column">
            <wp:posOffset>4625975</wp:posOffset>
          </wp:positionH>
          <wp:positionV relativeFrom="paragraph">
            <wp:posOffset>238013</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8D">
      <w:rPr>
        <w:noProof/>
      </w:rPr>
      <w:drawing>
        <wp:anchor distT="0" distB="0" distL="114300" distR="114300" simplePos="0" relativeHeight="251682816" behindDoc="1" locked="0" layoutInCell="1" allowOverlap="1" wp14:anchorId="1E5736B6" wp14:editId="6B438871">
          <wp:simplePos x="0" y="0"/>
          <wp:positionH relativeFrom="page">
            <wp:posOffset>10274</wp:posOffset>
          </wp:positionH>
          <wp:positionV relativeFrom="paragraph">
            <wp:posOffset>-545166</wp:posOffset>
          </wp:positionV>
          <wp:extent cx="7592589" cy="942975"/>
          <wp:effectExtent l="0" t="0" r="8890" b="0"/>
          <wp:wrapNone/>
          <wp:docPr id="38" name="Picture 3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92589"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532"/>
    <w:multiLevelType w:val="hybridMultilevel"/>
    <w:tmpl w:val="9B523A7A"/>
    <w:lvl w:ilvl="0" w:tplc="1116BAC0">
      <w:start w:val="5"/>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F73799"/>
    <w:multiLevelType w:val="hybridMultilevel"/>
    <w:tmpl w:val="4F480B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CC63428"/>
    <w:multiLevelType w:val="multilevel"/>
    <w:tmpl w:val="27EAA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B16DF"/>
    <w:multiLevelType w:val="hybridMultilevel"/>
    <w:tmpl w:val="46C6A3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960509E"/>
    <w:multiLevelType w:val="multilevel"/>
    <w:tmpl w:val="1B1A1E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321F3B"/>
    <w:multiLevelType w:val="multilevel"/>
    <w:tmpl w:val="BA889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AC028D"/>
    <w:multiLevelType w:val="multilevel"/>
    <w:tmpl w:val="1C08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A834C3C"/>
    <w:multiLevelType w:val="hybridMultilevel"/>
    <w:tmpl w:val="9B2C5172"/>
    <w:lvl w:ilvl="0" w:tplc="14090001">
      <w:start w:val="1"/>
      <w:numFmt w:val="bullet"/>
      <w:lvlText w:val=""/>
      <w:lvlJc w:val="left"/>
      <w:pPr>
        <w:ind w:left="2160" w:hanging="360"/>
      </w:pPr>
      <w:rPr>
        <w:rFonts w:hint="default" w:ascii="Symbol" w:hAnsi="Symbol"/>
      </w:rPr>
    </w:lvl>
    <w:lvl w:ilvl="1" w:tplc="14090003" w:tentative="1">
      <w:start w:val="1"/>
      <w:numFmt w:val="bullet"/>
      <w:lvlText w:val="o"/>
      <w:lvlJc w:val="left"/>
      <w:pPr>
        <w:ind w:left="2880" w:hanging="360"/>
      </w:pPr>
      <w:rPr>
        <w:rFonts w:hint="default" w:ascii="Courier New" w:hAnsi="Courier New" w:cs="Courier New"/>
      </w:rPr>
    </w:lvl>
    <w:lvl w:ilvl="2" w:tplc="14090005" w:tentative="1">
      <w:start w:val="1"/>
      <w:numFmt w:val="bullet"/>
      <w:lvlText w:val=""/>
      <w:lvlJc w:val="left"/>
      <w:pPr>
        <w:ind w:left="3600" w:hanging="360"/>
      </w:pPr>
      <w:rPr>
        <w:rFonts w:hint="default" w:ascii="Wingdings" w:hAnsi="Wingdings"/>
      </w:rPr>
    </w:lvl>
    <w:lvl w:ilvl="3" w:tplc="14090001" w:tentative="1">
      <w:start w:val="1"/>
      <w:numFmt w:val="bullet"/>
      <w:lvlText w:val=""/>
      <w:lvlJc w:val="left"/>
      <w:pPr>
        <w:ind w:left="4320" w:hanging="360"/>
      </w:pPr>
      <w:rPr>
        <w:rFonts w:hint="default" w:ascii="Symbol" w:hAnsi="Symbol"/>
      </w:rPr>
    </w:lvl>
    <w:lvl w:ilvl="4" w:tplc="14090003" w:tentative="1">
      <w:start w:val="1"/>
      <w:numFmt w:val="bullet"/>
      <w:lvlText w:val="o"/>
      <w:lvlJc w:val="left"/>
      <w:pPr>
        <w:ind w:left="5040" w:hanging="360"/>
      </w:pPr>
      <w:rPr>
        <w:rFonts w:hint="default" w:ascii="Courier New" w:hAnsi="Courier New" w:cs="Courier New"/>
      </w:rPr>
    </w:lvl>
    <w:lvl w:ilvl="5" w:tplc="14090005" w:tentative="1">
      <w:start w:val="1"/>
      <w:numFmt w:val="bullet"/>
      <w:lvlText w:val=""/>
      <w:lvlJc w:val="left"/>
      <w:pPr>
        <w:ind w:left="5760" w:hanging="360"/>
      </w:pPr>
      <w:rPr>
        <w:rFonts w:hint="default" w:ascii="Wingdings" w:hAnsi="Wingdings"/>
      </w:rPr>
    </w:lvl>
    <w:lvl w:ilvl="6" w:tplc="14090001" w:tentative="1">
      <w:start w:val="1"/>
      <w:numFmt w:val="bullet"/>
      <w:lvlText w:val=""/>
      <w:lvlJc w:val="left"/>
      <w:pPr>
        <w:ind w:left="6480" w:hanging="360"/>
      </w:pPr>
      <w:rPr>
        <w:rFonts w:hint="default" w:ascii="Symbol" w:hAnsi="Symbol"/>
      </w:rPr>
    </w:lvl>
    <w:lvl w:ilvl="7" w:tplc="14090003" w:tentative="1">
      <w:start w:val="1"/>
      <w:numFmt w:val="bullet"/>
      <w:lvlText w:val="o"/>
      <w:lvlJc w:val="left"/>
      <w:pPr>
        <w:ind w:left="7200" w:hanging="360"/>
      </w:pPr>
      <w:rPr>
        <w:rFonts w:hint="default" w:ascii="Courier New" w:hAnsi="Courier New" w:cs="Courier New"/>
      </w:rPr>
    </w:lvl>
    <w:lvl w:ilvl="8" w:tplc="14090005" w:tentative="1">
      <w:start w:val="1"/>
      <w:numFmt w:val="bullet"/>
      <w:lvlText w:val=""/>
      <w:lvlJc w:val="left"/>
      <w:pPr>
        <w:ind w:left="7920" w:hanging="360"/>
      </w:pPr>
      <w:rPr>
        <w:rFonts w:hint="default" w:ascii="Wingdings" w:hAnsi="Wingdings"/>
      </w:rPr>
    </w:lvl>
  </w:abstractNum>
  <w:abstractNum w:abstractNumId="8" w15:restartNumberingAfterBreak="0">
    <w:nsid w:val="4EDE51D0"/>
    <w:multiLevelType w:val="hybridMultilevel"/>
    <w:tmpl w:val="CFAA3B1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22934D1"/>
    <w:multiLevelType w:val="multilevel"/>
    <w:tmpl w:val="CEAC4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E5B0FD3"/>
    <w:multiLevelType w:val="hybridMultilevel"/>
    <w:tmpl w:val="A20C158C"/>
    <w:lvl w:ilvl="0" w:tplc="C97C4084">
      <w:start w:val="1"/>
      <w:numFmt w:val="decimal"/>
      <w:pStyle w:val="Tablenumbers"/>
      <w:lvlText w:val="%1."/>
      <w:lvlJc w:val="left"/>
      <w:pPr>
        <w:ind w:left="720" w:hanging="360"/>
      </w:pPr>
    </w:lvl>
    <w:lvl w:ilvl="1" w:tplc="C9820672">
      <w:start w:val="2"/>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6DCC706A"/>
    <w:multiLevelType w:val="hybridMultilevel"/>
    <w:tmpl w:val="CCF09308"/>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num w:numId="1" w16cid:durableId="1851412458">
    <w:abstractNumId w:val="1"/>
  </w:num>
  <w:num w:numId="2" w16cid:durableId="1728603294">
    <w:abstractNumId w:val="8"/>
  </w:num>
  <w:num w:numId="3" w16cid:durableId="10573868">
    <w:abstractNumId w:val="10"/>
  </w:num>
  <w:num w:numId="4" w16cid:durableId="991448911">
    <w:abstractNumId w:val="10"/>
  </w:num>
  <w:num w:numId="5" w16cid:durableId="29377499">
    <w:abstractNumId w:val="0"/>
  </w:num>
  <w:num w:numId="6" w16cid:durableId="1959723501">
    <w:abstractNumId w:val="3"/>
  </w:num>
  <w:num w:numId="7" w16cid:durableId="405613131">
    <w:abstractNumId w:val="6"/>
  </w:num>
  <w:num w:numId="8" w16cid:durableId="1483816671">
    <w:abstractNumId w:val="4"/>
  </w:num>
  <w:num w:numId="9" w16cid:durableId="1312366779">
    <w:abstractNumId w:val="5"/>
  </w:num>
  <w:num w:numId="10" w16cid:durableId="1394810470">
    <w:abstractNumId w:val="9"/>
  </w:num>
  <w:num w:numId="11" w16cid:durableId="1570731656">
    <w:abstractNumId w:val="2"/>
  </w:num>
  <w:num w:numId="12" w16cid:durableId="1190411656">
    <w:abstractNumId w:val="7"/>
  </w:num>
  <w:num w:numId="13" w16cid:durableId="942961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efaultTableStyle w:val="GridTable4-Accent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22"/>
    <w:rsid w:val="000277A9"/>
    <w:rsid w:val="00040F8D"/>
    <w:rsid w:val="00062B9C"/>
    <w:rsid w:val="000676FD"/>
    <w:rsid w:val="00080D3F"/>
    <w:rsid w:val="00084131"/>
    <w:rsid w:val="000857CB"/>
    <w:rsid w:val="000E4D03"/>
    <w:rsid w:val="000E57E8"/>
    <w:rsid w:val="000F0E7C"/>
    <w:rsid w:val="00117F56"/>
    <w:rsid w:val="00132CF1"/>
    <w:rsid w:val="00132F43"/>
    <w:rsid w:val="00162EA9"/>
    <w:rsid w:val="00173CD9"/>
    <w:rsid w:val="00175D0F"/>
    <w:rsid w:val="00195B6E"/>
    <w:rsid w:val="001B2B46"/>
    <w:rsid w:val="001C18DB"/>
    <w:rsid w:val="001C3E27"/>
    <w:rsid w:val="001C5B33"/>
    <w:rsid w:val="00217972"/>
    <w:rsid w:val="0022577B"/>
    <w:rsid w:val="00256979"/>
    <w:rsid w:val="002718AB"/>
    <w:rsid w:val="00281C9C"/>
    <w:rsid w:val="00281E30"/>
    <w:rsid w:val="00284764"/>
    <w:rsid w:val="002949DD"/>
    <w:rsid w:val="00296597"/>
    <w:rsid w:val="002A70EF"/>
    <w:rsid w:val="002E1621"/>
    <w:rsid w:val="002E4650"/>
    <w:rsid w:val="002F6315"/>
    <w:rsid w:val="00302A74"/>
    <w:rsid w:val="00316F7B"/>
    <w:rsid w:val="00330D13"/>
    <w:rsid w:val="00331F54"/>
    <w:rsid w:val="003324AB"/>
    <w:rsid w:val="00333CA8"/>
    <w:rsid w:val="00335BC2"/>
    <w:rsid w:val="00340C19"/>
    <w:rsid w:val="0035070D"/>
    <w:rsid w:val="003544A5"/>
    <w:rsid w:val="00363E0F"/>
    <w:rsid w:val="003719FC"/>
    <w:rsid w:val="00373833"/>
    <w:rsid w:val="00381194"/>
    <w:rsid w:val="00393463"/>
    <w:rsid w:val="00397377"/>
    <w:rsid w:val="003A10C8"/>
    <w:rsid w:val="003C3767"/>
    <w:rsid w:val="003D4243"/>
    <w:rsid w:val="003E59A8"/>
    <w:rsid w:val="003E7995"/>
    <w:rsid w:val="003F60B7"/>
    <w:rsid w:val="00401CC3"/>
    <w:rsid w:val="004079F7"/>
    <w:rsid w:val="00407FC1"/>
    <w:rsid w:val="00413B21"/>
    <w:rsid w:val="00422C3A"/>
    <w:rsid w:val="00436439"/>
    <w:rsid w:val="004548B3"/>
    <w:rsid w:val="004555CE"/>
    <w:rsid w:val="00485610"/>
    <w:rsid w:val="004941D7"/>
    <w:rsid w:val="004A435B"/>
    <w:rsid w:val="004B7053"/>
    <w:rsid w:val="004C0200"/>
    <w:rsid w:val="004C408D"/>
    <w:rsid w:val="004F6807"/>
    <w:rsid w:val="004F7DAE"/>
    <w:rsid w:val="005247D4"/>
    <w:rsid w:val="00570C05"/>
    <w:rsid w:val="00571B6E"/>
    <w:rsid w:val="00590CD2"/>
    <w:rsid w:val="005A6EEC"/>
    <w:rsid w:val="005A7695"/>
    <w:rsid w:val="005B0B55"/>
    <w:rsid w:val="005B12F6"/>
    <w:rsid w:val="005C21C6"/>
    <w:rsid w:val="005E1461"/>
    <w:rsid w:val="005E43C4"/>
    <w:rsid w:val="005E4A5F"/>
    <w:rsid w:val="005F5A32"/>
    <w:rsid w:val="005F79FA"/>
    <w:rsid w:val="00626DDC"/>
    <w:rsid w:val="00651454"/>
    <w:rsid w:val="00684CAC"/>
    <w:rsid w:val="00693F84"/>
    <w:rsid w:val="0069400E"/>
    <w:rsid w:val="00695140"/>
    <w:rsid w:val="006B1CA8"/>
    <w:rsid w:val="006E3522"/>
    <w:rsid w:val="006F5E5E"/>
    <w:rsid w:val="00705FEE"/>
    <w:rsid w:val="00752CEE"/>
    <w:rsid w:val="007B5F78"/>
    <w:rsid w:val="007E517D"/>
    <w:rsid w:val="007F223B"/>
    <w:rsid w:val="007F33C3"/>
    <w:rsid w:val="008017C8"/>
    <w:rsid w:val="0080534C"/>
    <w:rsid w:val="0082409D"/>
    <w:rsid w:val="00836101"/>
    <w:rsid w:val="00851316"/>
    <w:rsid w:val="00863572"/>
    <w:rsid w:val="008A7C44"/>
    <w:rsid w:val="008C6750"/>
    <w:rsid w:val="008D5FCD"/>
    <w:rsid w:val="008F5588"/>
    <w:rsid w:val="00901440"/>
    <w:rsid w:val="0090293E"/>
    <w:rsid w:val="009156A1"/>
    <w:rsid w:val="00925CF8"/>
    <w:rsid w:val="009341BF"/>
    <w:rsid w:val="00936F48"/>
    <w:rsid w:val="009633AF"/>
    <w:rsid w:val="0097074D"/>
    <w:rsid w:val="00973C51"/>
    <w:rsid w:val="0099798C"/>
    <w:rsid w:val="009B6ADF"/>
    <w:rsid w:val="009C2388"/>
    <w:rsid w:val="009D61E5"/>
    <w:rsid w:val="009E0C3E"/>
    <w:rsid w:val="009F195F"/>
    <w:rsid w:val="009F21F1"/>
    <w:rsid w:val="00A122C9"/>
    <w:rsid w:val="00A3188A"/>
    <w:rsid w:val="00A4427B"/>
    <w:rsid w:val="00A6420A"/>
    <w:rsid w:val="00A70F41"/>
    <w:rsid w:val="00A779DC"/>
    <w:rsid w:val="00A814D1"/>
    <w:rsid w:val="00A90685"/>
    <w:rsid w:val="00A92D1C"/>
    <w:rsid w:val="00AA31C9"/>
    <w:rsid w:val="00AB3827"/>
    <w:rsid w:val="00AD06A8"/>
    <w:rsid w:val="00AD2B0C"/>
    <w:rsid w:val="00AD5D23"/>
    <w:rsid w:val="00B01D84"/>
    <w:rsid w:val="00B62593"/>
    <w:rsid w:val="00B71F8B"/>
    <w:rsid w:val="00B72FC5"/>
    <w:rsid w:val="00BB0978"/>
    <w:rsid w:val="00BB2C1B"/>
    <w:rsid w:val="00BB5894"/>
    <w:rsid w:val="00BE01D5"/>
    <w:rsid w:val="00C120F2"/>
    <w:rsid w:val="00C47F08"/>
    <w:rsid w:val="00C50B10"/>
    <w:rsid w:val="00C91E9D"/>
    <w:rsid w:val="00CA2155"/>
    <w:rsid w:val="00CB42FC"/>
    <w:rsid w:val="00CE0C50"/>
    <w:rsid w:val="00CE757F"/>
    <w:rsid w:val="00CF2D03"/>
    <w:rsid w:val="00CF594C"/>
    <w:rsid w:val="00CF5BC7"/>
    <w:rsid w:val="00D02837"/>
    <w:rsid w:val="00D121C1"/>
    <w:rsid w:val="00D20BA4"/>
    <w:rsid w:val="00D23258"/>
    <w:rsid w:val="00D30ED3"/>
    <w:rsid w:val="00D31C14"/>
    <w:rsid w:val="00D34C13"/>
    <w:rsid w:val="00D5342E"/>
    <w:rsid w:val="00D56726"/>
    <w:rsid w:val="00D60075"/>
    <w:rsid w:val="00D60372"/>
    <w:rsid w:val="00D86684"/>
    <w:rsid w:val="00D94E9C"/>
    <w:rsid w:val="00DA144D"/>
    <w:rsid w:val="00DA5378"/>
    <w:rsid w:val="00DD1F84"/>
    <w:rsid w:val="00DE2DB2"/>
    <w:rsid w:val="00DE5BB1"/>
    <w:rsid w:val="00DF06BE"/>
    <w:rsid w:val="00E053FF"/>
    <w:rsid w:val="00E364FB"/>
    <w:rsid w:val="00E475CA"/>
    <w:rsid w:val="00E92AC9"/>
    <w:rsid w:val="00EA1A96"/>
    <w:rsid w:val="00EB3422"/>
    <w:rsid w:val="00EF0B2B"/>
    <w:rsid w:val="00EF3A29"/>
    <w:rsid w:val="00F320B5"/>
    <w:rsid w:val="00F55FAB"/>
    <w:rsid w:val="00F57AEA"/>
    <w:rsid w:val="00F870B9"/>
    <w:rsid w:val="00F961E3"/>
    <w:rsid w:val="00FB49B7"/>
    <w:rsid w:val="00FD0637"/>
    <w:rsid w:val="00FD1DEA"/>
    <w:rsid w:val="21EDCD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9E2C"/>
  <w15:chartTrackingRefBased/>
  <w15:docId w15:val="{84DCA537-7DE8-44CC-8F12-D082DC9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422"/>
    <w:rPr>
      <w:rFonts w:ascii="Arial" w:hAnsi="Arial" w:cs="Arial"/>
      <w:lang w:val="en-US"/>
    </w:rPr>
  </w:style>
  <w:style w:type="paragraph" w:styleId="Heading1">
    <w:name w:val="heading 1"/>
    <w:basedOn w:val="Normal"/>
    <w:next w:val="Normal"/>
    <w:link w:val="Heading1Char"/>
    <w:uiPriority w:val="9"/>
    <w:qFormat/>
    <w:rsid w:val="00FD0637"/>
    <w:pPr>
      <w:keepNext/>
      <w:keepLines/>
      <w:spacing w:after="0" w:line="360" w:lineRule="auto"/>
      <w:outlineLvl w:val="0"/>
    </w:pPr>
    <w:rPr>
      <w:rFonts w:ascii="Poppins" w:hAnsi="Poppins" w:cs="Poppins" w:eastAsiaTheme="majorEastAsia"/>
      <w:b/>
      <w:bCs/>
      <w:color w:val="30A1AC"/>
      <w:sz w:val="32"/>
      <w:szCs w:val="32"/>
    </w:rPr>
  </w:style>
  <w:style w:type="paragraph" w:styleId="Heading2">
    <w:name w:val="heading 2"/>
    <w:basedOn w:val="Normal"/>
    <w:next w:val="Normal"/>
    <w:link w:val="Heading2Char"/>
    <w:uiPriority w:val="9"/>
    <w:unhideWhenUsed/>
    <w:qFormat/>
    <w:rsid w:val="00FD0637"/>
    <w:pPr>
      <w:outlineLvl w:val="1"/>
    </w:pPr>
    <w:rPr>
      <w:rFonts w:ascii="Poppins" w:hAnsi="Poppins" w:cs="Poppins"/>
      <w:b/>
      <w:bCs/>
      <w:color w:val="15284C"/>
      <w:sz w:val="28"/>
      <w:szCs w:val="28"/>
    </w:rPr>
  </w:style>
  <w:style w:type="paragraph" w:styleId="Heading3">
    <w:name w:val="heading 3"/>
    <w:basedOn w:val="Normal"/>
    <w:next w:val="Normal"/>
    <w:link w:val="Heading3Char"/>
    <w:uiPriority w:val="9"/>
    <w:unhideWhenUsed/>
    <w:qFormat/>
    <w:rsid w:val="00FD0637"/>
    <w:pPr>
      <w:outlineLvl w:val="2"/>
    </w:pPr>
    <w:rPr>
      <w:rFonts w:ascii="Poppins" w:hAnsi="Poppins" w:cs="Poppins"/>
      <w:b/>
      <w:bCs/>
      <w:i/>
      <w:iCs/>
      <w:color w:val="15284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Template title"/>
    <w:basedOn w:val="Normal"/>
    <w:link w:val="NoSpacingChar"/>
    <w:uiPriority w:val="1"/>
    <w:qFormat/>
    <w:rsid w:val="00C50B10"/>
    <w:pPr>
      <w:ind w:left="-9214" w:firstLine="9214"/>
    </w:pPr>
    <w:rPr>
      <w:rFonts w:ascii="Poppins" w:hAnsi="Poppins" w:cs="Poppins"/>
      <w:b/>
      <w:bCs/>
      <w:color w:val="15284C"/>
      <w:sz w:val="48"/>
      <w:szCs w:val="48"/>
      <w:lang w:val="en-NZ"/>
    </w:rPr>
  </w:style>
  <w:style w:type="character" w:styleId="NoSpacingChar" w:customStyle="1">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3422"/>
  </w:style>
  <w:style w:type="character" w:styleId="Heading1Char" w:customStyle="1">
    <w:name w:val="Heading 1 Char"/>
    <w:basedOn w:val="DefaultParagraphFont"/>
    <w:link w:val="Heading1"/>
    <w:uiPriority w:val="9"/>
    <w:rsid w:val="00FD0637"/>
    <w:rPr>
      <w:rFonts w:ascii="Poppins" w:hAnsi="Poppins" w:cs="Poppins" w:eastAsiaTheme="majorEastAsia"/>
      <w:b/>
      <w:bCs/>
      <w:color w:val="30A1AC"/>
      <w:sz w:val="32"/>
      <w:szCs w:val="32"/>
      <w:lang w:val="en-US"/>
    </w:rPr>
  </w:style>
  <w:style w:type="paragraph" w:styleId="TOCHeading">
    <w:name w:val="TOC Heading"/>
    <w:basedOn w:val="Heading1"/>
    <w:next w:val="Normal"/>
    <w:uiPriority w:val="39"/>
    <w:unhideWhenUsed/>
    <w:qFormat/>
    <w:rsid w:val="00EB3422"/>
    <w:pPr>
      <w:outlineLvl w:val="9"/>
    </w:pPr>
    <w:rPr>
      <w:b w:val="0"/>
      <w:bCs w:val="0"/>
    </w:rPr>
  </w:style>
  <w:style w:type="character" w:styleId="Heading2Char" w:customStyle="1">
    <w:name w:val="Heading 2 Char"/>
    <w:basedOn w:val="DefaultParagraphFont"/>
    <w:link w:val="Heading2"/>
    <w:uiPriority w:val="9"/>
    <w:rsid w:val="00FD0637"/>
    <w:rPr>
      <w:rFonts w:ascii="Poppins" w:hAnsi="Poppins" w:cs="Poppins"/>
      <w:b/>
      <w:bCs/>
      <w:color w:val="15284C"/>
      <w:sz w:val="28"/>
      <w:szCs w:val="28"/>
      <w:lang w:val="en-US"/>
    </w:rPr>
  </w:style>
  <w:style w:type="character" w:styleId="Heading3Char" w:customStyle="1">
    <w:name w:val="Heading 3 Char"/>
    <w:basedOn w:val="DefaultParagraphFont"/>
    <w:link w:val="Heading3"/>
    <w:uiPriority w:val="9"/>
    <w:rsid w:val="00FD0637"/>
    <w:rPr>
      <w:rFonts w:ascii="Poppins" w:hAnsi="Poppins" w:cs="Poppins"/>
      <w:b/>
      <w:bCs/>
      <w:i/>
      <w:iCs/>
      <w:color w:val="15284C"/>
      <w:sz w:val="24"/>
      <w:szCs w:val="24"/>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EB34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minorBidi" w:hAnsi="minorBidi"/>
        <w:b/>
        <w:color w:val="F6F4EC" w:themeColor="background1"/>
        <w:sz w:val="24"/>
      </w:rPr>
      <w:tblPr/>
      <w:tcPr>
        <w:shd w:val="clear" w:color="auto" w:fill="15284C"/>
      </w:tcPr>
    </w:tblStylePr>
  </w:style>
  <w:style w:type="table" w:styleId="TableGridLight">
    <w:name w:val="Grid Table Light"/>
    <w:basedOn w:val="TableNormal"/>
    <w:uiPriority w:val="40"/>
    <w:rsid w:val="00175D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tcBorders>
        <w:shd w:val="clear" w:color="auto" w:fill="15284C" w:themeFill="accent5"/>
      </w:tcPr>
    </w:tblStylePr>
    <w:tblStylePr w:type="lastRow">
      <w:rPr>
        <w:b/>
        <w:bCs/>
      </w:rPr>
      <w:tblPr/>
      <w:tcPr>
        <w:tcBorders>
          <w:top w:val="double" w:color="3C6DC9" w:themeColor="accent5" w:themeTint="99"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color="FFFFFF" w:themeColor="accent6" w:sz="24" w:space="0"/>
        <w:left w:val="single" w:color="FFFFFF" w:themeColor="accent6" w:sz="24" w:space="0"/>
        <w:bottom w:val="single" w:color="FFFFFF" w:themeColor="accent6" w:sz="24" w:space="0"/>
        <w:right w:val="single" w:color="FFFFFF" w:themeColor="accent6" w:sz="24" w:space="0"/>
      </w:tblBorders>
    </w:tblPr>
    <w:tcPr>
      <w:shd w:val="clear" w:color="auto" w:fill="FFFFFF" w:themeFill="accent6"/>
    </w:tcPr>
    <w:tblStylePr w:type="firstRow">
      <w:rPr>
        <w:b/>
        <w:bCs/>
      </w:rPr>
      <w:tblPr/>
      <w:tcPr>
        <w:tcBorders>
          <w:bottom w:val="single" w:color="F6F4EC" w:themeColor="background1" w:sz="18" w:space="0"/>
        </w:tcBorders>
      </w:tcPr>
    </w:tblStylePr>
    <w:tblStylePr w:type="lastRow">
      <w:rPr>
        <w:b/>
        <w:bCs/>
      </w:rPr>
      <w:tblPr/>
      <w:tcPr>
        <w:tcBorders>
          <w:top w:val="single" w:color="F6F4EC" w:themeColor="background1" w:sz="4" w:space="0"/>
        </w:tcBorders>
      </w:tcPr>
    </w:tblStylePr>
    <w:tblStylePr w:type="firstCol">
      <w:rPr>
        <w:b/>
        <w:bCs/>
      </w:rPr>
      <w:tblPr/>
      <w:tcPr>
        <w:tcBorders>
          <w:right w:val="single" w:color="F6F4EC" w:themeColor="background1" w:sz="4" w:space="0"/>
        </w:tcBorders>
      </w:tcPr>
    </w:tblStylePr>
    <w:tblStylePr w:type="lastCol">
      <w:rPr>
        <w:b/>
        <w:bCs/>
      </w:rPr>
      <w:tblPr/>
      <w:tcPr>
        <w:tcBorders>
          <w:left w:val="single" w:color="F6F4EC" w:themeColor="background1" w:sz="4" w:space="0"/>
        </w:tcBorders>
      </w:tcPr>
    </w:tblStylePr>
    <w:tblStylePr w:type="band1Vert">
      <w:tblPr/>
      <w:tcPr>
        <w:tcBorders>
          <w:left w:val="single" w:color="F6F4EC" w:themeColor="background1" w:sz="4" w:space="0"/>
          <w:right w:val="single" w:color="F6F4EC" w:themeColor="background1" w:sz="4" w:space="0"/>
        </w:tcBorders>
      </w:tcPr>
    </w:tblStylePr>
    <w:tblStylePr w:type="band2Vert">
      <w:tblPr/>
      <w:tcPr>
        <w:tcBorders>
          <w:left w:val="single" w:color="F6F4EC" w:themeColor="background1" w:sz="4" w:space="0"/>
          <w:right w:val="single" w:color="F6F4EC" w:themeColor="background1" w:sz="4" w:space="0"/>
        </w:tcBorders>
      </w:tcPr>
    </w:tblStylePr>
    <w:tblStylePr w:type="band1Horz">
      <w:tblPr/>
      <w:tcPr>
        <w:tcBorders>
          <w:top w:val="single" w:color="F6F4EC" w:themeColor="background1" w:sz="4" w:space="0"/>
          <w:bottom w:val="single" w:color="F6F4EC"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color="2870FF" w:themeColor="accent2" w:themeTint="99" w:sz="4" w:space="0"/>
        <w:left w:val="single" w:color="2870FF" w:themeColor="accent2" w:themeTint="99" w:sz="4" w:space="0"/>
        <w:bottom w:val="single" w:color="2870FF" w:themeColor="accent2" w:themeTint="99" w:sz="4" w:space="0"/>
        <w:right w:val="single" w:color="2870FF" w:themeColor="accent2" w:themeTint="99" w:sz="4" w:space="0"/>
        <w:insideH w:val="single" w:color="2870FF" w:themeColor="accent2" w:themeTint="99" w:sz="4" w:space="0"/>
      </w:tblBorders>
    </w:tblPr>
    <w:tblStylePr w:type="firstRow">
      <w:rPr>
        <w:b/>
        <w:bCs/>
        <w:color w:val="F6F4EC" w:themeColor="background1"/>
      </w:rPr>
      <w:tblPr/>
      <w:tcPr>
        <w:tcBorders>
          <w:top w:val="single" w:color="003399" w:themeColor="accent2" w:sz="4" w:space="0"/>
          <w:left w:val="single" w:color="003399" w:themeColor="accent2" w:sz="4" w:space="0"/>
          <w:bottom w:val="single" w:color="003399" w:themeColor="accent2" w:sz="4" w:space="0"/>
          <w:right w:val="single" w:color="003399" w:themeColor="accent2" w:sz="4" w:space="0"/>
          <w:insideH w:val="nil"/>
        </w:tcBorders>
        <w:shd w:val="clear" w:color="auto" w:fill="003399" w:themeFill="accent2"/>
      </w:tcPr>
    </w:tblStylePr>
    <w:tblStylePr w:type="lastRow">
      <w:rPr>
        <w:b/>
        <w:bCs/>
      </w:rPr>
      <w:tblPr/>
      <w:tcPr>
        <w:tcBorders>
          <w:top w:val="double" w:color="2870FF" w:themeColor="accent2" w:themeTint="99" w:sz="4" w:space="0"/>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color="3ADAEE" w:themeColor="accent3" w:themeTint="99" w:sz="4" w:space="0"/>
        <w:left w:val="single" w:color="3ADAEE" w:themeColor="accent3" w:themeTint="99" w:sz="4" w:space="0"/>
        <w:bottom w:val="single" w:color="3ADAEE" w:themeColor="accent3" w:themeTint="99" w:sz="4" w:space="0"/>
        <w:right w:val="single" w:color="3ADAEE" w:themeColor="accent3" w:themeTint="99" w:sz="4" w:space="0"/>
        <w:insideH w:val="single" w:color="3ADAEE" w:themeColor="accent3" w:themeTint="99" w:sz="4" w:space="0"/>
      </w:tblBorders>
    </w:tblPr>
    <w:tblStylePr w:type="firstRow">
      <w:rPr>
        <w:b/>
        <w:bCs/>
        <w:color w:val="F6F4EC" w:themeColor="background1"/>
      </w:rPr>
      <w:tblPr/>
      <w:tcPr>
        <w:tcBorders>
          <w:top w:val="single" w:color="0C818F" w:themeColor="accent3" w:sz="4" w:space="0"/>
          <w:left w:val="single" w:color="0C818F" w:themeColor="accent3" w:sz="4" w:space="0"/>
          <w:bottom w:val="single" w:color="0C818F" w:themeColor="accent3" w:sz="4" w:space="0"/>
          <w:right w:val="single" w:color="0C818F" w:themeColor="accent3" w:sz="4" w:space="0"/>
          <w:insideH w:val="nil"/>
        </w:tcBorders>
        <w:shd w:val="clear" w:color="auto" w:fill="0C818F" w:themeFill="accent3"/>
      </w:tcPr>
    </w:tblStylePr>
    <w:tblStylePr w:type="lastRow">
      <w:rPr>
        <w:b/>
        <w:bCs/>
      </w:rPr>
      <w:tblPr/>
      <w:tcPr>
        <w:tcBorders>
          <w:top w:val="double" w:color="3ADAEE" w:themeColor="accent3" w:themeTint="99" w:sz="4" w:space="0"/>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color="15284C" w:themeColor="text1" w:sz="4" w:space="0"/>
        <w:left w:val="single" w:color="15284C" w:themeColor="text1" w:sz="4" w:space="0"/>
        <w:bottom w:val="single" w:color="15284C" w:themeColor="text1" w:sz="4" w:space="0"/>
        <w:right w:val="single" w:color="15284C" w:themeColor="text1" w:sz="4" w:space="0"/>
      </w:tblBorders>
    </w:tblPr>
    <w:tblStylePr w:type="firstRow">
      <w:rPr>
        <w:b/>
        <w:bCs/>
        <w:color w:val="F6F4EC" w:themeColor="background1"/>
      </w:rPr>
      <w:tblPr/>
      <w:tcPr>
        <w:shd w:val="clear" w:color="auto" w:fill="15284C" w:themeFill="text1"/>
      </w:tcPr>
    </w:tblStylePr>
    <w:tblStylePr w:type="lastRow">
      <w:rPr>
        <w:b/>
        <w:bCs/>
      </w:rPr>
      <w:tblPr/>
      <w:tcPr>
        <w:tcBorders>
          <w:top w:val="double" w:color="15284C" w:themeColor="text1"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15284C" w:themeColor="text1" w:sz="4" w:space="0"/>
          <w:right w:val="single" w:color="15284C" w:themeColor="text1" w:sz="4" w:space="0"/>
        </w:tcBorders>
      </w:tcPr>
    </w:tblStylePr>
    <w:tblStylePr w:type="band1Horz">
      <w:tblPr/>
      <w:tcPr>
        <w:tcBorders>
          <w:top w:val="single" w:color="15284C" w:themeColor="text1" w:sz="4" w:space="0"/>
          <w:bottom w:val="single" w:color="15284C"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284C" w:themeColor="text1" w:sz="4" w:space="0"/>
          <w:left w:val="nil"/>
        </w:tcBorders>
      </w:tcPr>
    </w:tblStylePr>
    <w:tblStylePr w:type="swCell">
      <w:tblPr/>
      <w:tcPr>
        <w:tcBorders>
          <w:top w:val="double" w:color="15284C" w:themeColor="text1" w:sz="4" w:space="0"/>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color="935ACF" w:themeColor="accent1" w:themeTint="99" w:sz="4" w:space="0"/>
        <w:left w:val="single" w:color="935ACF" w:themeColor="accent1" w:themeTint="99" w:sz="4" w:space="0"/>
        <w:bottom w:val="single" w:color="935ACF" w:themeColor="accent1" w:themeTint="99" w:sz="4" w:space="0"/>
        <w:right w:val="single" w:color="935ACF" w:themeColor="accent1" w:themeTint="99" w:sz="4" w:space="0"/>
        <w:insideH w:val="single" w:color="935ACF" w:themeColor="accent1" w:themeTint="99" w:sz="4" w:space="0"/>
      </w:tblBorders>
    </w:tblPr>
    <w:tblStylePr w:type="firstRow">
      <w:rPr>
        <w:b/>
        <w:bCs/>
        <w:color w:val="F6F4EC" w:themeColor="background1"/>
      </w:rPr>
      <w:tblPr/>
      <w:tcPr>
        <w:tcBorders>
          <w:top w:val="single" w:color="4D2379" w:themeColor="accent1" w:sz="4" w:space="0"/>
          <w:left w:val="single" w:color="4D2379" w:themeColor="accent1" w:sz="4" w:space="0"/>
          <w:bottom w:val="single" w:color="4D2379" w:themeColor="accent1" w:sz="4" w:space="0"/>
          <w:right w:val="single" w:color="4D2379" w:themeColor="accent1" w:sz="4" w:space="0"/>
          <w:insideH w:val="nil"/>
        </w:tcBorders>
        <w:shd w:val="clear" w:color="auto" w:fill="4D2379" w:themeFill="accent1"/>
      </w:tcPr>
    </w:tblStylePr>
    <w:tblStylePr w:type="lastRow">
      <w:rPr>
        <w:b/>
        <w:bCs/>
      </w:rPr>
      <w:tblPr/>
      <w:tcPr>
        <w:tcBorders>
          <w:top w:val="double" w:color="935ACF" w:themeColor="accent1" w:themeTint="99" w:sz="4" w:space="0"/>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color="3C6DC9" w:themeColor="text1" w:themeTint="99" w:sz="4" w:space="0"/>
        <w:left w:val="single" w:color="3C6DC9" w:themeColor="text1" w:themeTint="99" w:sz="4" w:space="0"/>
        <w:bottom w:val="single" w:color="3C6DC9" w:themeColor="text1" w:themeTint="99" w:sz="4" w:space="0"/>
        <w:right w:val="single" w:color="3C6DC9" w:themeColor="text1" w:themeTint="99" w:sz="4" w:space="0"/>
        <w:insideH w:val="single" w:color="3C6DC9" w:themeColor="text1" w:themeTint="99" w:sz="4" w:space="0"/>
      </w:tblBorders>
    </w:tblPr>
    <w:tblStylePr w:type="firstRow">
      <w:rPr>
        <w:b/>
        <w:bCs/>
        <w:color w:val="F6F4EC" w:themeColor="background1"/>
      </w:rPr>
      <w:tblPr/>
      <w:tcPr>
        <w:tcBorders>
          <w:top w:val="single" w:color="15284C" w:themeColor="text1" w:sz="4" w:space="0"/>
          <w:left w:val="single" w:color="15284C" w:themeColor="text1" w:sz="4" w:space="0"/>
          <w:bottom w:val="single" w:color="15284C" w:themeColor="text1" w:sz="4" w:space="0"/>
          <w:right w:val="single" w:color="15284C" w:themeColor="text1" w:sz="4" w:space="0"/>
          <w:insideH w:val="nil"/>
        </w:tcBorders>
        <w:shd w:val="clear" w:color="auto" w:fill="15284C" w:themeFill="text1"/>
      </w:tcPr>
    </w:tblStylePr>
    <w:tblStylePr w:type="lastRow">
      <w:rPr>
        <w:b/>
        <w:bCs/>
      </w:rPr>
      <w:tblPr/>
      <w:tcPr>
        <w:tcBorders>
          <w:top w:val="double" w:color="3C6DC9" w:themeColor="text1" w:themeTint="99" w:sz="4" w:space="0"/>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color="0C818F" w:themeColor="accent3" w:sz="4" w:space="0"/>
        <w:left w:val="single" w:color="0C818F" w:themeColor="accent3" w:sz="4" w:space="0"/>
        <w:bottom w:val="single" w:color="0C818F" w:themeColor="accent3" w:sz="4" w:space="0"/>
        <w:right w:val="single" w:color="0C818F" w:themeColor="accent3" w:sz="4" w:space="0"/>
      </w:tblBorders>
    </w:tblPr>
    <w:tblStylePr w:type="firstRow">
      <w:rPr>
        <w:b/>
        <w:bCs/>
        <w:color w:val="F6F4EC" w:themeColor="background1"/>
      </w:rPr>
      <w:tblPr/>
      <w:tcPr>
        <w:shd w:val="clear" w:color="auto" w:fill="0C818F" w:themeFill="accent3"/>
      </w:tcPr>
    </w:tblStylePr>
    <w:tblStylePr w:type="lastRow">
      <w:rPr>
        <w:b/>
        <w:bCs/>
      </w:rPr>
      <w:tblPr/>
      <w:tcPr>
        <w:tcBorders>
          <w:top w:val="double" w:color="0C818F" w:themeColor="accent3"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0C818F" w:themeColor="accent3" w:sz="4" w:space="0"/>
          <w:right w:val="single" w:color="0C818F" w:themeColor="accent3" w:sz="4" w:space="0"/>
        </w:tcBorders>
      </w:tcPr>
    </w:tblStylePr>
    <w:tblStylePr w:type="band1Horz">
      <w:tblPr/>
      <w:tcPr>
        <w:tcBorders>
          <w:top w:val="single" w:color="0C818F" w:themeColor="accent3" w:sz="4" w:space="0"/>
          <w:bottom w:val="single" w:color="0C818F"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C818F" w:themeColor="accent3" w:sz="4" w:space="0"/>
          <w:left w:val="nil"/>
        </w:tcBorders>
      </w:tcPr>
    </w:tblStylePr>
    <w:tblStylePr w:type="swCell">
      <w:tblPr/>
      <w:tcPr>
        <w:tcBorders>
          <w:top w:val="double" w:color="0C818F" w:themeColor="accent3" w:sz="4" w:space="0"/>
          <w:right w:val="nil"/>
        </w:tcBorders>
      </w:tcPr>
    </w:tblStylePr>
  </w:style>
  <w:style w:type="paragraph" w:styleId="ListParagraph">
    <w:name w:val="List Paragraph"/>
    <w:basedOn w:val="Normal"/>
    <w:uiPriority w:val="34"/>
    <w:qFormat/>
    <w:rsid w:val="004079F7"/>
    <w:pPr>
      <w:ind w:left="720"/>
      <w:contextualSpacing/>
    </w:pPr>
  </w:style>
  <w:style w:type="table" w:styleId="GridTable4-Accent5">
    <w:name w:val="Grid Table 4 Accent 5"/>
    <w:basedOn w:val="TableNormal"/>
    <w:uiPriority w:val="49"/>
    <w:rsid w:val="00AD5D23"/>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insideV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insideV w:val="nil"/>
        </w:tcBorders>
        <w:shd w:val="clear" w:color="auto" w:fill="15284C" w:themeFill="accent5"/>
      </w:tcPr>
    </w:tblStylePr>
    <w:tblStylePr w:type="lastRow">
      <w:rPr>
        <w:b/>
        <w:bCs/>
      </w:rPr>
      <w:tblPr/>
      <w:tcPr>
        <w:tcBorders>
          <w:top w:val="double" w:color="15284C" w:themeColor="accent5"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GridTable5Dark-Accent5">
    <w:name w:val="Grid Table 5 Dark Accent 5"/>
    <w:basedOn w:val="TableNormal"/>
    <w:uiPriority w:val="50"/>
    <w:rsid w:val="00CF5BC7"/>
    <w:pPr>
      <w:spacing w:after="0" w:line="240" w:lineRule="auto"/>
    </w:pPr>
    <w:tblPr>
      <w:tblStyleRowBandSize w:val="1"/>
      <w:tblStyleColBandSize w:val="1"/>
      <w:tblBorders>
        <w:top w:val="single" w:color="F6F4EC" w:themeColor="background1" w:sz="4" w:space="0"/>
        <w:left w:val="single" w:color="F6F4EC" w:themeColor="background1" w:sz="4" w:space="0"/>
        <w:bottom w:val="single" w:color="F6F4EC" w:themeColor="background1" w:sz="4" w:space="0"/>
        <w:right w:val="single" w:color="F6F4EC" w:themeColor="background1" w:sz="4" w:space="0"/>
        <w:insideH w:val="single" w:color="F6F4EC" w:themeColor="background1" w:sz="4" w:space="0"/>
        <w:insideV w:val="single" w:color="F6F4EC" w:themeColor="background1" w:sz="4" w:space="0"/>
      </w:tblBorders>
    </w:tblPr>
    <w:tcPr>
      <w:shd w:val="clear" w:color="auto" w:fill="BECEED" w:themeFill="accent5" w:themeFillTint="33"/>
    </w:tcPr>
    <w:tblStylePr w:type="firstRow">
      <w:rPr>
        <w:b/>
        <w:bCs/>
        <w:color w:val="F6F4EC" w:themeColor="background1"/>
      </w:rPr>
      <w:tblPr/>
      <w:tcPr>
        <w:tcBorders>
          <w:top w:val="single" w:color="F6F4EC" w:themeColor="background1" w:sz="4" w:space="0"/>
          <w:left w:val="single" w:color="F6F4EC" w:themeColor="background1" w:sz="4" w:space="0"/>
          <w:right w:val="single" w:color="F6F4EC" w:themeColor="background1" w:sz="4" w:space="0"/>
          <w:insideH w:val="nil"/>
          <w:insideV w:val="nil"/>
        </w:tcBorders>
        <w:shd w:val="clear" w:color="auto" w:fill="15284C" w:themeFill="accent5"/>
      </w:tcPr>
    </w:tblStylePr>
    <w:tblStylePr w:type="lastRow">
      <w:rPr>
        <w:b/>
        <w:bCs/>
        <w:color w:val="F6F4EC" w:themeColor="background1"/>
      </w:rPr>
      <w:tblPr/>
      <w:tcPr>
        <w:tcBorders>
          <w:left w:val="single" w:color="F6F4EC" w:themeColor="background1" w:sz="4" w:space="0"/>
          <w:bottom w:val="single" w:color="F6F4EC" w:themeColor="background1" w:sz="4" w:space="0"/>
          <w:right w:val="single" w:color="F6F4EC" w:themeColor="background1" w:sz="4" w:space="0"/>
          <w:insideH w:val="nil"/>
          <w:insideV w:val="nil"/>
        </w:tcBorders>
        <w:shd w:val="clear" w:color="auto" w:fill="15284C" w:themeFill="accent5"/>
      </w:tcPr>
    </w:tblStylePr>
    <w:tblStylePr w:type="firstCol">
      <w:rPr>
        <w:b/>
        <w:bCs/>
        <w:color w:val="F6F4EC" w:themeColor="background1"/>
      </w:rPr>
      <w:tblPr/>
      <w:tcPr>
        <w:tcBorders>
          <w:top w:val="single" w:color="F6F4EC" w:themeColor="background1" w:sz="4" w:space="0"/>
          <w:left w:val="single" w:color="F6F4EC" w:themeColor="background1" w:sz="4" w:space="0"/>
          <w:bottom w:val="single" w:color="F6F4EC" w:themeColor="background1" w:sz="4" w:space="0"/>
          <w:insideV w:val="nil"/>
        </w:tcBorders>
        <w:shd w:val="clear" w:color="auto" w:fill="15284C" w:themeFill="accent5"/>
      </w:tcPr>
    </w:tblStylePr>
    <w:tblStylePr w:type="lastCol">
      <w:rPr>
        <w:b/>
        <w:bCs/>
        <w:color w:val="F6F4EC" w:themeColor="background1"/>
      </w:rPr>
      <w:tblPr/>
      <w:tcPr>
        <w:tcBorders>
          <w:top w:val="single" w:color="F6F4EC" w:themeColor="background1" w:sz="4" w:space="0"/>
          <w:bottom w:val="single" w:color="F6F4EC" w:themeColor="background1" w:sz="4" w:space="0"/>
          <w:right w:val="single" w:color="F6F4EC" w:themeColor="background1" w:sz="4" w:space="0"/>
          <w:insideV w:val="nil"/>
        </w:tcBorders>
        <w:shd w:val="clear" w:color="auto" w:fill="15284C" w:themeFill="accent5"/>
      </w:tcPr>
    </w:tblStylePr>
    <w:tblStylePr w:type="band1Vert">
      <w:tblPr/>
      <w:tcPr>
        <w:shd w:val="clear" w:color="auto" w:fill="7D9DDB" w:themeFill="accent5" w:themeFillTint="66"/>
      </w:tcPr>
    </w:tblStylePr>
    <w:tblStylePr w:type="band1Horz">
      <w:tblPr/>
      <w:tcPr>
        <w:shd w:val="clear" w:color="auto" w:fill="7D9DDB" w:themeFill="accent5" w:themeFillTint="66"/>
      </w:tcPr>
    </w:tblStylePr>
  </w:style>
  <w:style w:type="table" w:styleId="GridTable4-Accent6">
    <w:name w:val="Grid Table 4 Accent 6"/>
    <w:basedOn w:val="TableNormal"/>
    <w:uiPriority w:val="49"/>
    <w:rsid w:val="00693F84"/>
    <w:pPr>
      <w:spacing w:after="0" w:line="240" w:lineRule="auto"/>
    </w:pPr>
    <w:tblPr>
      <w:tblStyleRowBandSize w:val="1"/>
      <w:tblStyleColBandSize w:val="1"/>
      <w:tblBorders>
        <w:top w:val="single" w:color="FFFFFF" w:themeColor="accent6" w:themeTint="99" w:sz="4" w:space="0"/>
        <w:left w:val="single" w:color="FFFFFF" w:themeColor="accent6" w:themeTint="99" w:sz="4" w:space="0"/>
        <w:bottom w:val="single" w:color="FFFFFF" w:themeColor="accent6" w:themeTint="99" w:sz="4" w:space="0"/>
        <w:right w:val="single" w:color="FFFFFF" w:themeColor="accent6" w:themeTint="99" w:sz="4" w:space="0"/>
        <w:insideH w:val="single" w:color="FFFFFF" w:themeColor="accent6" w:themeTint="99" w:sz="4" w:space="0"/>
        <w:insideV w:val="single" w:color="FFFFFF" w:themeColor="accent6" w:themeTint="99" w:sz="4" w:space="0"/>
      </w:tblBorders>
    </w:tblPr>
    <w:tblStylePr w:type="firstRow">
      <w:rPr>
        <w:b/>
        <w:bCs/>
        <w:color w:val="F6F4EC" w:themeColor="background1"/>
      </w:rPr>
      <w:tblPr/>
      <w:tcPr>
        <w:tcBorders>
          <w:top w:val="single" w:color="FFFFFF" w:themeColor="accent6" w:sz="4" w:space="0"/>
          <w:left w:val="single" w:color="FFFFFF" w:themeColor="accent6" w:sz="4" w:space="0"/>
          <w:bottom w:val="single" w:color="FFFFFF" w:themeColor="accent6" w:sz="4" w:space="0"/>
          <w:right w:val="single" w:color="FFFFFF" w:themeColor="accent6" w:sz="4" w:space="0"/>
          <w:insideH w:val="nil"/>
          <w:insideV w:val="nil"/>
        </w:tcBorders>
        <w:shd w:val="clear" w:color="auto" w:fill="FFFFFF" w:themeFill="accent6"/>
      </w:tcPr>
    </w:tblStylePr>
    <w:tblStylePr w:type="lastRow">
      <w:rPr>
        <w:b/>
        <w:bCs/>
      </w:rPr>
      <w:tblPr/>
      <w:tcPr>
        <w:tcBorders>
          <w:top w:val="double" w:color="FFFFFF" w:themeColor="accent6" w:sz="4" w:space="0"/>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BodyText2">
    <w:name w:val="Body Text 2"/>
    <w:basedOn w:val="Normal"/>
    <w:link w:val="BodyText2Char"/>
    <w:unhideWhenUsed/>
    <w:rsid w:val="00D31C14"/>
    <w:pPr>
      <w:spacing w:after="0" w:line="240" w:lineRule="auto"/>
      <w:jc w:val="both"/>
    </w:pPr>
    <w:rPr>
      <w:rFonts w:eastAsia="Times New Roman"/>
      <w:szCs w:val="24"/>
      <w:lang w:val="en-GB"/>
    </w:rPr>
  </w:style>
  <w:style w:type="character" w:styleId="BodyText2Char" w:customStyle="1">
    <w:name w:val="Body Text 2 Char"/>
    <w:basedOn w:val="DefaultParagraphFont"/>
    <w:link w:val="BodyText2"/>
    <w:rsid w:val="00D31C14"/>
    <w:rPr>
      <w:rFonts w:ascii="Arial" w:hAnsi="Arial" w:eastAsia="Times New Roman" w:cs="Arial"/>
      <w:szCs w:val="24"/>
      <w:lang w:val="en-GB"/>
    </w:rPr>
  </w:style>
  <w:style w:type="character" w:styleId="UnresolvedMention">
    <w:name w:val="Unresolved Mention"/>
    <w:basedOn w:val="DefaultParagraphFont"/>
    <w:uiPriority w:val="99"/>
    <w:semiHidden/>
    <w:unhideWhenUsed/>
    <w:rsid w:val="00B01D84"/>
    <w:rPr>
      <w:color w:val="605E5C"/>
      <w:shd w:val="clear" w:color="auto" w:fill="E1DFDD"/>
    </w:rPr>
  </w:style>
  <w:style w:type="paragraph" w:styleId="Default" w:customStyle="1">
    <w:name w:val="Default"/>
    <w:rsid w:val="008C6750"/>
    <w:pPr>
      <w:autoSpaceDE w:val="0"/>
      <w:autoSpaceDN w:val="0"/>
      <w:adjustRightInd w:val="0"/>
      <w:spacing w:after="0" w:line="240" w:lineRule="auto"/>
    </w:pPr>
    <w:rPr>
      <w:rFonts w:ascii="Arial" w:hAnsi="Arial" w:cs="Arial"/>
      <w:color w:val="000000"/>
      <w:sz w:val="24"/>
      <w:szCs w:val="24"/>
    </w:rPr>
  </w:style>
  <w:style w:type="paragraph" w:styleId="Tablenumbers" w:customStyle="1">
    <w:name w:val="Table numbers"/>
    <w:basedOn w:val="Normal"/>
    <w:qFormat/>
    <w:rsid w:val="001C18DB"/>
    <w:pPr>
      <w:numPr>
        <w:numId w:val="3"/>
      </w:numPr>
      <w:spacing w:after="227" w:line="280" w:lineRule="exact"/>
    </w:pPr>
    <w:rPr>
      <w:rFonts w:ascii="Calibri" w:hAnsi="Calibri" w:cstheme="minorBidi"/>
      <w:color w:val="5858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870">
      <w:bodyDiv w:val="1"/>
      <w:marLeft w:val="0"/>
      <w:marRight w:val="0"/>
      <w:marTop w:val="0"/>
      <w:marBottom w:val="0"/>
      <w:divBdr>
        <w:top w:val="none" w:sz="0" w:space="0" w:color="auto"/>
        <w:left w:val="none" w:sz="0" w:space="0" w:color="auto"/>
        <w:bottom w:val="none" w:sz="0" w:space="0" w:color="auto"/>
        <w:right w:val="none" w:sz="0" w:space="0" w:color="auto"/>
      </w:divBdr>
    </w:div>
    <w:div w:id="451284389">
      <w:bodyDiv w:val="1"/>
      <w:marLeft w:val="0"/>
      <w:marRight w:val="0"/>
      <w:marTop w:val="0"/>
      <w:marBottom w:val="0"/>
      <w:divBdr>
        <w:top w:val="none" w:sz="0" w:space="0" w:color="auto"/>
        <w:left w:val="none" w:sz="0" w:space="0" w:color="auto"/>
        <w:bottom w:val="none" w:sz="0" w:space="0" w:color="auto"/>
        <w:right w:val="none" w:sz="0" w:space="0" w:color="auto"/>
      </w:divBdr>
    </w:div>
    <w:div w:id="488639792">
      <w:bodyDiv w:val="1"/>
      <w:marLeft w:val="0"/>
      <w:marRight w:val="0"/>
      <w:marTop w:val="0"/>
      <w:marBottom w:val="0"/>
      <w:divBdr>
        <w:top w:val="none" w:sz="0" w:space="0" w:color="auto"/>
        <w:left w:val="none" w:sz="0" w:space="0" w:color="auto"/>
        <w:bottom w:val="none" w:sz="0" w:space="0" w:color="auto"/>
        <w:right w:val="none" w:sz="0" w:space="0" w:color="auto"/>
      </w:divBdr>
    </w:div>
    <w:div w:id="811943773">
      <w:bodyDiv w:val="1"/>
      <w:marLeft w:val="0"/>
      <w:marRight w:val="0"/>
      <w:marTop w:val="0"/>
      <w:marBottom w:val="0"/>
      <w:divBdr>
        <w:top w:val="none" w:sz="0" w:space="0" w:color="auto"/>
        <w:left w:val="none" w:sz="0" w:space="0" w:color="auto"/>
        <w:bottom w:val="none" w:sz="0" w:space="0" w:color="auto"/>
        <w:right w:val="none" w:sz="0" w:space="0" w:color="auto"/>
      </w:divBdr>
    </w:div>
    <w:div w:id="1487013637">
      <w:bodyDiv w:val="1"/>
      <w:marLeft w:val="0"/>
      <w:marRight w:val="0"/>
      <w:marTop w:val="0"/>
      <w:marBottom w:val="0"/>
      <w:divBdr>
        <w:top w:val="none" w:sz="0" w:space="0" w:color="auto"/>
        <w:left w:val="none" w:sz="0" w:space="0" w:color="auto"/>
        <w:bottom w:val="none" w:sz="0" w:space="0" w:color="auto"/>
        <w:right w:val="none" w:sz="0" w:space="0" w:color="auto"/>
      </w:divBdr>
    </w:div>
    <w:div w:id="20054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image" Target="media/image2.png" Id="rId14" /><Relationship Type="http://schemas.openxmlformats.org/officeDocument/2006/relationships/settings" Target="setting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d2ac6e-deb4-4656-8994-e112145e9ab3" xsi:nil="true"/>
    <lcf76f155ced4ddcb4097134ff3c332f xmlns="2b569a46-b57a-453f-a198-ec07277f5e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tranet Image" ma:contentTypeID="0x01010200DB7FCEDBF720E842BCF98CF990A36209002F9283702569BD408B876402EED2E7B0" ma:contentTypeVersion="7" ma:contentTypeDescription="Image Content type for the Intranet" ma:contentTypeScope="" ma:versionID="2ace2d17b41e07ec219655772cdcb65d">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9253c88c-d550-4ff1-afdc-d5dc691f60b0" xmlns:ns5="5ed1d950-fdc4-48f8-b963-d5f8558599d9" targetNamespace="http://schemas.microsoft.com/office/2006/metadata/properties" ma:root="true" ma:fieldsID="b090bb4d3c5500d319bc87eace68d638" ns1:_="" ns2:_="" ns3:_="" ns4:_="" ns5:_="">
    <xsd:import namespace="http://schemas.microsoft.com/sharepoint/v3"/>
    <xsd:import namespace="http://schemas.microsoft.com/sharepoint/v3/fields"/>
    <xsd:import namespace="http://schemas.microsoft.com/sharepoint/v4"/>
    <xsd:import namespace="9253c88c-d550-4ff1-afdc-d5dc691f60b0"/>
    <xsd:import namespace="5ed1d950-fdc4-48f8-b963-d5f8558599d9"/>
    <xsd:element name="properties">
      <xsd:complexType>
        <xsd:sequence>
          <xsd:element name="documentManagement">
            <xsd:complexType>
              <xsd:all>
                <xsd:element ref="ns2:ImageWidth" minOccurs="0"/>
                <xsd:element ref="ns2:ImageHeight" minOccurs="0"/>
                <xsd:element ref="ns2:ImageCreateDate" minOccurs="0"/>
                <xsd:element ref="ns1:Comments" minOccurs="0"/>
                <xsd:element ref="ns1:ThumbnailExists" minOccurs="0"/>
                <xsd:element ref="ns1:PreviewExists" minOccurs="0"/>
                <xsd:element ref="ns3:AlternateThumbnailUrl" minOccurs="0"/>
                <xsd:element ref="ns4:n8842703a3bf4e039a9dd9539f7868eb" minOccurs="0"/>
                <xsd:element ref="ns4:TaxCatchAll" minOccurs="0"/>
                <xsd:element ref="ns4:TaxCatchAllLabel" minOccurs="0"/>
                <xsd:element ref="ns4:m93555d02fc84543be6ad39b8f5331ef" minOccurs="0"/>
                <xsd:element ref="ns4:i3a0fe6035df47329f66088a682fd9d2" minOccurs="0"/>
                <xsd:element ref="ns4:o0b0fca0fe5341709012cd4bcbbca98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hidden="true" ma:internalName="Comments">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5"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n8842703a3bf4e039a9dd9539f7868eb" ma:index="26" nillable="true" ma:taxonomy="true" ma:internalName="n8842703a3bf4e039a9dd9539f7868eb" ma:taxonomyFieldName="HNZImageCategory" ma:displayName="Image Category" ma:default="" ma:fieldId="{78842703-a3bf-4e03-9a9d-d9539f7868eb}" ma:sspId="ebf29b3f-1e51-457b-ae0c-362182e58074" ma:termSetId="ec62e57c-7868-48d1-8bb6-636a51df49d6"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3c930d7c-82d0-4e0d-8f92-1d11c7dbfd2a}" ma:internalName="TaxCatchAll" ma:showField="CatchAllData"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3c930d7c-82d0-4e0d-8f92-1d11c7dbfd2a}" ma:internalName="TaxCatchAllLabel" ma:readOnly="true" ma:showField="CatchAllDataLabel"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m93555d02fc84543be6ad39b8f5331ef" ma:index="30" nillable="true" ma:taxonomy="true" ma:internalName="m93555d02fc84543be6ad39b8f5331ef" ma:taxonomyFieldName="HNZImageLicenceType" ma:displayName="Image Licence Type" ma:default="" ma:fieldId="{693555d0-2fc8-4543-be6a-d39b8f5331ef}" ma:sspId="ebf29b3f-1e51-457b-ae0c-362182e58074" ma:termSetId="ba30fd1c-e4b3-4e8b-8299-7ab84b8dd0b1" ma:anchorId="00000000-0000-0000-0000-000000000000" ma:open="false" ma:isKeyword="false">
      <xsd:complexType>
        <xsd:sequence>
          <xsd:element ref="pc:Terms" minOccurs="0" maxOccurs="1"/>
        </xsd:sequence>
      </xsd:complexType>
    </xsd:element>
    <xsd:element name="i3a0fe6035df47329f66088a682fd9d2" ma:index="32"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o0b0fca0fe5341709012cd4bcbbca983" ma:index="34"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d1d950-fdc4-48f8-b963-d5f8558599d9" elementFormDefault="qualified">
    <xsd:import namespace="http://schemas.microsoft.com/office/2006/documentManagement/types"/>
    <xsd:import namespace="http://schemas.microsoft.com/office/infopath/2007/PartnerControls"/>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f29b3f-1e51-457b-ae0c-362182e58074" ContentTypeId="0x01010200DB7FCEDBF720E842BCF98CF990A36209"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21F9-78BC-477C-8099-35AEE917407A}"/>
</file>

<file path=customXml/itemProps2.xml><?xml version="1.0" encoding="utf-8"?>
<ds:datastoreItem xmlns:ds="http://schemas.openxmlformats.org/officeDocument/2006/customXml" ds:itemID="{8999035D-7CCE-4458-907E-E87758F57F0C}">
  <ds:schemaRefs>
    <ds:schemaRef ds:uri="http://schemas.microsoft.com/sharepoint/v3/contenttype/forms"/>
  </ds:schemaRefs>
</ds:datastoreItem>
</file>

<file path=customXml/itemProps3.xml><?xml version="1.0" encoding="utf-8"?>
<ds:datastoreItem xmlns:ds="http://schemas.openxmlformats.org/officeDocument/2006/customXml" ds:itemID="{518D3A62-FF39-4C7F-BC4F-CD7FC4259C68}">
  <ds:schemaRefs>
    <ds:schemaRef ds:uri="http://schemas.microsoft.com/office/2006/metadata/properties"/>
    <ds:schemaRef ds:uri="http://schemas.microsoft.com/office/infopath/2007/PartnerControls"/>
    <ds:schemaRef ds:uri="http://schemas.microsoft.com/sharepoint/v3/fields"/>
    <ds:schemaRef ds:uri="9253c88c-d550-4ff1-afdc-d5dc691f60b0"/>
    <ds:schemaRef ds:uri="http://schemas.microsoft.com/sharepoint/v4"/>
    <ds:schemaRef ds:uri="http://schemas.microsoft.com/sharepoint/v3"/>
    <ds:schemaRef ds:uri="5ed1d950-fdc4-48f8-b963-d5f8558599d9"/>
  </ds:schemaRefs>
</ds:datastoreItem>
</file>

<file path=customXml/itemProps4.xml><?xml version="1.0" encoding="utf-8"?>
<ds:datastoreItem xmlns:ds="http://schemas.openxmlformats.org/officeDocument/2006/customXml" ds:itemID="{D893C06E-F1BC-4392-A1D5-66CBD238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9253c88c-d550-4ff1-afdc-d5dc691f60b0"/>
    <ds:schemaRef ds:uri="5ed1d950-fdc4-48f8-b963-d5f855859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F1437-54D9-4AE1-B685-C0D635DEAB67}">
  <ds:schemaRefs>
    <ds:schemaRef ds:uri="Microsoft.SharePoint.Taxonomy.ContentTypeSync"/>
  </ds:schemaRefs>
</ds:datastoreItem>
</file>

<file path=customXml/itemProps6.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NicoleAdams</dc:creator>
  <cp:keywords/>
  <dc:description/>
  <cp:lastModifiedBy>Michelle McGrath</cp:lastModifiedBy>
  <cp:revision>12</cp:revision>
  <cp:lastPrinted>2025-07-20T03:34:00Z</cp:lastPrinted>
  <dcterms:created xsi:type="dcterms:W3CDTF">2025-11-08T18:15:00Z</dcterms:created>
  <dcterms:modified xsi:type="dcterms:W3CDTF">2025-11-09T04:26:15Z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_dlc_DocIdItemGuid">
    <vt:lpwstr>248fd367-7317-4bea-822c-cc7c17e91089</vt:lpwstr>
  </property>
  <property fmtid="{D5CDD505-2E9C-101B-9397-08002B2CF9AE}" pid="4" name="MSIP_Label_4fb490ea-dfa8-4e79-8bcb-fcb6f5d06935_Enabled">
    <vt:lpwstr>true</vt:lpwstr>
  </property>
  <property fmtid="{D5CDD505-2E9C-101B-9397-08002B2CF9AE}" pid="5" name="MSIP_Label_4fb490ea-dfa8-4e79-8bcb-fcb6f5d06935_SetDate">
    <vt:lpwstr>2025-11-08T08:16:51Z</vt:lpwstr>
  </property>
  <property fmtid="{D5CDD505-2E9C-101B-9397-08002B2CF9AE}" pid="6" name="MSIP_Label_4fb490ea-dfa8-4e79-8bcb-fcb6f5d06935_Method">
    <vt:lpwstr>Standard</vt:lpwstr>
  </property>
  <property fmtid="{D5CDD505-2E9C-101B-9397-08002B2CF9AE}" pid="7" name="MSIP_Label_4fb490ea-dfa8-4e79-8bcb-fcb6f5d06935_Name">
    <vt:lpwstr>defa4170-0d19-0005-0004-bc88714345d2</vt:lpwstr>
  </property>
  <property fmtid="{D5CDD505-2E9C-101B-9397-08002B2CF9AE}" pid="8" name="MSIP_Label_4fb490ea-dfa8-4e79-8bcb-fcb6f5d06935_SiteId">
    <vt:lpwstr>1ba54a87-51ab-4e79-8b49-40d5bde395a2</vt:lpwstr>
  </property>
  <property fmtid="{D5CDD505-2E9C-101B-9397-08002B2CF9AE}" pid="9" name="MSIP_Label_4fb490ea-dfa8-4e79-8bcb-fcb6f5d06935_ActionId">
    <vt:lpwstr>cce35a70-0ada-407c-9f22-61a5261272c7</vt:lpwstr>
  </property>
  <property fmtid="{D5CDD505-2E9C-101B-9397-08002B2CF9AE}" pid="10" name="MSIP_Label_4fb490ea-dfa8-4e79-8bcb-fcb6f5d06935_ContentBits">
    <vt:lpwstr>0</vt:lpwstr>
  </property>
  <property fmtid="{D5CDD505-2E9C-101B-9397-08002B2CF9AE}" pid="11" name="MSIP_Label_4fb490ea-dfa8-4e79-8bcb-fcb6f5d06935_Tag">
    <vt:lpwstr>10, 3, 0, 1</vt:lpwstr>
  </property>
  <property fmtid="{D5CDD505-2E9C-101B-9397-08002B2CF9AE}" pid="12" name="MediaServiceImageTags">
    <vt:lpwstr/>
  </property>
</Properties>
</file>