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60" w:line="254" w:lineRule="auto"/>
      </w:pPr>
      <w:r>
        <w:rPr>
          <w:rFonts w:ascii="Aptos Display" w:hAnsi="Aptos Display"/>
          <w:b/>
          <w:color w:val="12263A"/>
          <w:sz w:val="48"/>
        </w:rPr>
        <w:t>SME4Labour Weekly Small Business Briefing</w:t>
      </w:r>
    </w:p>
    <w:p>
      <w:pPr>
        <w:spacing w:before="0" w:after="220" w:line="254" w:lineRule="auto"/>
      </w:pPr>
      <w:r>
        <w:rPr>
          <w:rFonts w:ascii="Aptos" w:hAnsi="Aptos"/>
          <w:b/>
          <w:color w:val="C8102E"/>
          <w:sz w:val="20"/>
        </w:rPr>
        <w:t>Monday 14 September 2026 | Main reporting period: 7-13 September 2026</w:t>
      </w:r>
    </w:p>
    <w:p>
      <w:pPr>
        <w:pStyle w:val="Heading1"/>
        <w:keepNext/>
        <w:spacing w:before="200" w:after="100" w:line="254" w:lineRule="auto"/>
      </w:pPr>
      <w:r>
        <w:rPr>
          <w:rFonts w:ascii="Aptos" w:hAnsi="Aptos"/>
          <w:color w:val="C8102E"/>
          <w:sz w:val="30"/>
        </w:rPr>
        <w:t>Labour opening routes into innovation, exports and simpler administration</w:t>
      </w:r>
    </w:p>
    <w:p>
      <w:pPr>
        <w:spacing w:before="0" w:after="100" w:line="254" w:lineRule="auto"/>
      </w:pPr>
      <w:r>
        <w:rPr>
          <w:rFonts w:ascii="Aptos" w:hAnsi="Aptos"/>
          <w:color w:val="12263A"/>
          <w:sz w:val="20"/>
        </w:rPr>
        <w:t>This week brought a mix of long-term investment and immediate practical improvements for small and medium-sized businesses. The Labour Government published a new UK Space Strategy backed by £7.8 billion to 2030, HMRC launched a faster Self Assessment registration service, UK Export Finance announced support unlocking £167 million of contracts for British suppliers, and DBS confirmed lower checking fees from October.</w:t>
      </w:r>
    </w:p>
    <w:p>
      <w:pPr>
        <w:spacing w:before="0" w:after="100" w:line="254" w:lineRule="auto"/>
      </w:pPr>
      <w:r>
        <w:rPr>
          <w:rFonts w:ascii="Aptos" w:hAnsi="Aptos"/>
          <w:color w:val="12263A"/>
          <w:sz w:val="20"/>
        </w:rPr>
        <w:t>There were also signs of Labour-led regional delivery and closer engagement with small firms: major innovation and transport facilities opened at Bristol Temple Quarter, while UK and US officials convened more than 80 SMEs and business organisations in Cardiff. As ever, this briefing distinguishes strategies and engagement from funding already released, facilities already opened and savings that businesses can use directly.</w:t>
      </w:r>
    </w:p>
    <w:p>
      <w:pPr>
        <w:pStyle w:val="Heading1"/>
        <w:keepNext/>
        <w:spacing w:before="200" w:after="100" w:line="254" w:lineRule="auto"/>
      </w:pPr>
      <w:r>
        <w:rPr>
          <w:rFonts w:ascii="Aptos" w:hAnsi="Aptos"/>
          <w:color w:val="C8102E"/>
          <w:sz w:val="30"/>
        </w:rPr>
        <w:t>1. Headline: £7.8 billion UK Space Strategy creates a stronger pipeline for innovation and procurement</w:t>
      </w:r>
    </w:p>
    <w:p>
      <w:pPr>
        <w:spacing w:before="0" w:after="100" w:line="254" w:lineRule="auto"/>
      </w:pPr>
      <w:r>
        <w:rPr>
          <w:rFonts w:ascii="Aptos" w:hAnsi="Aptos"/>
          <w:b/>
          <w:color w:val="12263A"/>
          <w:sz w:val="20"/>
        </w:rPr>
        <w:t>Status: national strategy and funding envelope published on 8 September. Individual programmes, competitions and contracts will follow their own timetables and eligibility rules; no SME allocation or award was announced.</w:t>
      </w:r>
    </w:p>
    <w:p>
      <w:pPr>
        <w:spacing w:before="0" w:after="100" w:line="254" w:lineRule="auto"/>
      </w:pPr>
      <w:r>
        <w:rPr>
          <w:rFonts w:ascii="Aptos" w:hAnsi="Aptos"/>
          <w:color w:val="12263A"/>
          <w:sz w:val="20"/>
        </w:rPr>
        <w:t xml:space="preserve">The Labour Government published a new UK Space Strategy bringing civil, commercial, defence and national-security activity under a single plan. It is backed by </w:t>
      </w:r>
      <w:r>
        <w:rPr>
          <w:rFonts w:ascii="Aptos" w:hAnsi="Aptos"/>
          <w:b/>
          <w:color w:val="12263A"/>
          <w:sz w:val="20"/>
        </w:rPr>
        <w:t>£7.8 billion of investment to 2030</w:t>
      </w:r>
      <w:r>
        <w:rPr>
          <w:rFonts w:ascii="Aptos" w:hAnsi="Aptos"/>
          <w:color w:val="12263A"/>
          <w:sz w:val="20"/>
        </w:rPr>
        <w:t xml:space="preserve"> and prioritises satellite communications, space domain awareness, in-orbit servicing, assembly and manufacturing, and access to space.</w:t>
      </w:r>
    </w:p>
    <w:p>
      <w:pPr>
        <w:spacing w:before="0" w:after="100" w:line="254" w:lineRule="auto"/>
      </w:pPr>
      <w:r>
        <w:rPr>
          <w:rFonts w:ascii="Aptos" w:hAnsi="Aptos"/>
          <w:color w:val="12263A"/>
          <w:sz w:val="20"/>
        </w:rPr>
        <w:t xml:space="preserve">The package described by the Government includes </w:t>
      </w:r>
      <w:r>
        <w:rPr>
          <w:rFonts w:ascii="Aptos" w:hAnsi="Aptos"/>
          <w:b/>
          <w:color w:val="12263A"/>
          <w:sz w:val="20"/>
        </w:rPr>
        <w:t>£40 million</w:t>
      </w:r>
      <w:r>
        <w:rPr>
          <w:rFonts w:ascii="Aptos" w:hAnsi="Aptos"/>
          <w:color w:val="12263A"/>
          <w:sz w:val="20"/>
        </w:rPr>
        <w:t xml:space="preserve"> for in-orbit servicing, assembly and manufacturing technologies, </w:t>
      </w:r>
      <w:r>
        <w:rPr>
          <w:rFonts w:ascii="Aptos" w:hAnsi="Aptos"/>
          <w:b/>
          <w:color w:val="12263A"/>
          <w:sz w:val="20"/>
        </w:rPr>
        <w:t>£148 million</w:t>
      </w:r>
      <w:r>
        <w:rPr>
          <w:rFonts w:ascii="Aptos" w:hAnsi="Aptos"/>
          <w:color w:val="12263A"/>
          <w:sz w:val="20"/>
        </w:rPr>
        <w:t xml:space="preserve"> for European rocket programmes, </w:t>
      </w:r>
      <w:r>
        <w:rPr>
          <w:rFonts w:ascii="Aptos" w:hAnsi="Aptos"/>
          <w:b/>
          <w:color w:val="12263A"/>
          <w:sz w:val="20"/>
        </w:rPr>
        <w:t>£30 million</w:t>
      </w:r>
      <w:r>
        <w:rPr>
          <w:rFonts w:ascii="Aptos" w:hAnsi="Aptos"/>
          <w:color w:val="12263A"/>
          <w:sz w:val="20"/>
        </w:rPr>
        <w:t xml:space="preserve"> for SaxaVord Spaceport, and </w:t>
      </w:r>
      <w:r>
        <w:rPr>
          <w:rFonts w:ascii="Aptos" w:hAnsi="Aptos"/>
          <w:b/>
          <w:color w:val="12263A"/>
          <w:sz w:val="20"/>
        </w:rPr>
        <w:t>£163 million</w:t>
      </w:r>
      <w:r>
        <w:rPr>
          <w:rFonts w:ascii="Aptos" w:hAnsi="Aptos"/>
          <w:color w:val="12263A"/>
          <w:sz w:val="20"/>
        </w:rPr>
        <w:t xml:space="preserve"> for space science and exploration missions. The Government also says it will take a more unified approach to buying and developing space technology, beginning with satellite communications, with the aim of helping British firms win more work and strengthening UK supply chains.</w:t>
      </w:r>
    </w:p>
    <w:p>
      <w:pPr>
        <w:spacing w:before="0" w:after="100" w:line="254" w:lineRule="auto"/>
      </w:pPr>
      <w:hyperlink r:id="rId20">
        <w:r>
          <w:rPr>
            <w:rFonts w:ascii="Aptos" w:hAnsi="Aptos"/>
            <w:color w:val="0563C1"/>
            <w:u w:val="single"/>
            <w:sz w:val="20"/>
          </w:rPr>
          <w:t>UK Space Strategy</w:t>
        </w:r>
      </w:hyperlink>
      <w:r>
        <w:rPr>
          <w:rFonts w:ascii="Aptos" w:hAnsi="Aptos"/>
          <w:color w:val="12263A"/>
          <w:sz w:val="20"/>
        </w:rPr>
        <w:t xml:space="preserve"> | </w:t>
      </w:r>
      <w:hyperlink r:id="rId21">
        <w:r>
          <w:rPr>
            <w:rFonts w:ascii="Aptos" w:hAnsi="Aptos"/>
            <w:color w:val="0563C1"/>
            <w:u w:val="single"/>
            <w:sz w:val="20"/>
          </w:rPr>
          <w:t>Government announcement, 8 September 2026</w:t>
        </w:r>
      </w:hyperlink>
    </w:p>
    <w:p>
      <w:pPr>
        <w:spacing w:before="0" w:after="100" w:line="254" w:lineRule="auto"/>
      </w:pPr>
      <w:r>
        <w:rPr>
          <w:rFonts w:ascii="Aptos" w:hAnsi="Aptos"/>
          <w:b/>
          <w:color w:val="12263A"/>
          <w:sz w:val="20"/>
        </w:rPr>
        <w:t>What this means for SMEs - analysis:</w:t>
      </w:r>
      <w:r>
        <w:rPr>
          <w:rFonts w:ascii="Aptos" w:hAnsi="Aptos"/>
          <w:color w:val="12263A"/>
          <w:sz w:val="20"/>
        </w:rPr>
        <w:t xml:space="preserve"> A clearer public investment and procurement pipeline could create opportunities for specialist firms in software, data, cyber security, electronics, advanced manufacturing, communications and professional services. The headline £7.8 billion is not a new grant pot available to every business, and the cited announcement does not guarantee an SME share. The practical benefit will depend on the design and accessibility of future competitions and contracts.</w:t>
      </w:r>
    </w:p>
    <w:p>
      <w:pPr>
        <w:spacing w:before="0" w:after="100" w:line="254" w:lineRule="auto"/>
      </w:pPr>
      <w:r>
        <w:rPr>
          <w:rFonts w:ascii="Aptos" w:hAnsi="Aptos"/>
          <w:b/>
          <w:color w:val="12263A"/>
          <w:sz w:val="20"/>
        </w:rPr>
        <w:t>Practical action:</w:t>
      </w:r>
      <w:r>
        <w:rPr>
          <w:rFonts w:ascii="Aptos" w:hAnsi="Aptos"/>
          <w:color w:val="12263A"/>
          <w:sz w:val="20"/>
        </w:rPr>
        <w:t xml:space="preserve"> Space and adjacent technology businesses should map their capabilities against the four priority subsectors, monitor UK Space Agency, UK Research and Innovation and defence procurement opportunities, and prepare evidence of security, technical assurance and supply-chain capacity. SME4Labour's proposed ask is for early supplier engagement, proportionate requirements and contracts divided into accessible packages where appropriate.</w:t>
      </w:r>
    </w:p>
    <w:p>
      <w:pPr>
        <w:pStyle w:val="Heading1"/>
        <w:keepNext/>
        <w:spacing w:before="200" w:after="100" w:line="254" w:lineRule="auto"/>
      </w:pPr>
      <w:r>
        <w:rPr>
          <w:rFonts w:ascii="Aptos" w:hAnsi="Aptos"/>
          <w:color w:val="C8102E"/>
          <w:sz w:val="30"/>
        </w:rPr>
        <w:t>2. Faster Self Assessment registration for the self-employed</w:t>
      </w:r>
    </w:p>
    <w:p>
      <w:pPr>
        <w:spacing w:before="0" w:after="100" w:line="254" w:lineRule="auto"/>
      </w:pPr>
      <w:r>
        <w:rPr>
          <w:rFonts w:ascii="Aptos" w:hAnsi="Aptos"/>
          <w:b/>
          <w:color w:val="12263A"/>
          <w:sz w:val="20"/>
        </w:rPr>
        <w:t>Status: improved HMRC online service launched on 9 September and available now to individual customers with a Personal Tax Account. Agents continue to use the existing registration routes.</w:t>
      </w:r>
    </w:p>
    <w:p>
      <w:pPr>
        <w:spacing w:before="0" w:after="100" w:line="254" w:lineRule="auto"/>
      </w:pPr>
      <w:r>
        <w:rPr>
          <w:rFonts w:ascii="Aptos" w:hAnsi="Aptos"/>
          <w:color w:val="12263A"/>
          <w:sz w:val="20"/>
        </w:rPr>
        <w:t xml:space="preserve">HMRC has streamlined online registration for Self Assessment. The service now includes pre-populated information, save-and-return functionality, clearer signposting to support, and confirmation by email or text. HMRC says a Unique Taxpayer Reference should appear in the customer's online account within </w:t>
      </w:r>
      <w:r>
        <w:rPr>
          <w:rFonts w:ascii="Aptos" w:hAnsi="Aptos"/>
          <w:b/>
          <w:color w:val="12263A"/>
          <w:sz w:val="20"/>
        </w:rPr>
        <w:t>72 hours</w:t>
      </w:r>
      <w:r>
        <w:rPr>
          <w:rFonts w:ascii="Aptos" w:hAnsi="Aptos"/>
          <w:color w:val="12263A"/>
          <w:sz w:val="20"/>
        </w:rPr>
        <w:t>, instead of taking up to 15 days by post.</w:t>
      </w:r>
    </w:p>
    <w:p>
      <w:pPr>
        <w:spacing w:before="0" w:after="100" w:line="254" w:lineRule="auto"/>
      </w:pPr>
      <w:r>
        <w:rPr>
          <w:rFonts w:ascii="Aptos" w:hAnsi="Aptos"/>
          <w:color w:val="12263A"/>
          <w:sz w:val="20"/>
        </w:rPr>
        <w:t xml:space="preserve">People who need to file a Self Assessment return for the first time for the 2025-26 tax year must normally notify HMRC by </w:t>
      </w:r>
      <w:r>
        <w:rPr>
          <w:rFonts w:ascii="Aptos" w:hAnsi="Aptos"/>
          <w:b/>
          <w:color w:val="12263A"/>
          <w:sz w:val="20"/>
        </w:rPr>
        <w:t>5 October 2026</w:t>
      </w:r>
      <w:r>
        <w:rPr>
          <w:rFonts w:ascii="Aptos" w:hAnsi="Aptos"/>
          <w:color w:val="12263A"/>
          <w:sz w:val="20"/>
        </w:rPr>
        <w:t xml:space="preserve">. This includes newly self-employed people with gross trading income over </w:t>
      </w:r>
      <w:r>
        <w:rPr>
          <w:rFonts w:ascii="Aptos" w:hAnsi="Aptos"/>
          <w:b/>
          <w:color w:val="12263A"/>
          <w:sz w:val="20"/>
        </w:rPr>
        <w:t>£1,000</w:t>
      </w:r>
      <w:r>
        <w:rPr>
          <w:rFonts w:ascii="Aptos" w:hAnsi="Aptos"/>
          <w:color w:val="12263A"/>
          <w:sz w:val="20"/>
        </w:rPr>
        <w:t xml:space="preserve">, new partners in a business partnership and some people with untaxed income. The filing and payment deadline is </w:t>
      </w:r>
      <w:r>
        <w:rPr>
          <w:rFonts w:ascii="Aptos" w:hAnsi="Aptos"/>
          <w:b/>
          <w:color w:val="12263A"/>
          <w:sz w:val="20"/>
        </w:rPr>
        <w:t>31 January 2027</w:t>
      </w:r>
      <w:r>
        <w:rPr>
          <w:rFonts w:ascii="Aptos" w:hAnsi="Aptos"/>
          <w:color w:val="12263A"/>
          <w:sz w:val="20"/>
        </w:rPr>
        <w:t>.</w:t>
      </w:r>
    </w:p>
    <w:p>
      <w:pPr>
        <w:spacing w:before="0" w:after="100" w:line="254" w:lineRule="auto"/>
      </w:pPr>
      <w:hyperlink r:id="rId22">
        <w:r>
          <w:rPr>
            <w:rFonts w:ascii="Aptos" w:hAnsi="Aptos"/>
            <w:color w:val="0563C1"/>
            <w:u w:val="single"/>
            <w:sz w:val="20"/>
          </w:rPr>
          <w:t>HMRC announcement, 9 September 2026</w:t>
        </w:r>
      </w:hyperlink>
      <w:r>
        <w:rPr>
          <w:rFonts w:ascii="Aptos" w:hAnsi="Aptos"/>
          <w:color w:val="12263A"/>
          <w:sz w:val="20"/>
        </w:rPr>
        <w:t xml:space="preserve"> | </w:t>
      </w:r>
      <w:hyperlink r:id="rId23">
        <w:r>
          <w:rPr>
            <w:rFonts w:ascii="Aptos" w:hAnsi="Aptos"/>
            <w:color w:val="0563C1"/>
            <w:u w:val="single"/>
            <w:sz w:val="20"/>
          </w:rPr>
          <w:t>Check and register for Self Assessment</w:t>
        </w:r>
      </w:hyperlink>
    </w:p>
    <w:p>
      <w:pPr>
        <w:spacing w:before="0" w:after="100" w:line="254" w:lineRule="auto"/>
      </w:pPr>
      <w:r>
        <w:rPr>
          <w:rFonts w:ascii="Aptos" w:hAnsi="Aptos"/>
          <w:b/>
          <w:color w:val="12263A"/>
          <w:sz w:val="20"/>
        </w:rPr>
        <w:t>What this means for SMEs - analysis:</w:t>
      </w:r>
      <w:r>
        <w:rPr>
          <w:rFonts w:ascii="Aptos" w:hAnsi="Aptos"/>
          <w:color w:val="12263A"/>
          <w:sz w:val="20"/>
        </w:rPr>
        <w:t xml:space="preserve"> The improvement should reduce waiting time and administrative friction for sole traders and partners registering themselves. It does not change who must file or the tax owed, and it does not replace professional advice where affairs are complex.</w:t>
      </w:r>
    </w:p>
    <w:p>
      <w:pPr>
        <w:spacing w:before="0" w:after="100" w:line="254" w:lineRule="auto"/>
      </w:pPr>
      <w:r>
        <w:rPr>
          <w:rFonts w:ascii="Aptos" w:hAnsi="Aptos"/>
          <w:b/>
          <w:color w:val="12263A"/>
          <w:sz w:val="20"/>
        </w:rPr>
        <w:t>Practical action:</w:t>
      </w:r>
      <w:r>
        <w:rPr>
          <w:rFonts w:ascii="Aptos" w:hAnsi="Aptos"/>
          <w:color w:val="12263A"/>
          <w:sz w:val="20"/>
        </w:rPr>
        <w:t xml:space="preserve"> Anyone newly self-employed or joining a partnership should use HMRC's checking tool now, register by 5 October if required and keep the confirmation. Businesses using an accountant should confirm who is responsible for registration and filing.</w:t>
      </w:r>
    </w:p>
    <w:p>
      <w:pPr>
        <w:pStyle w:val="Heading1"/>
        <w:keepNext/>
        <w:spacing w:before="200" w:after="100" w:line="254" w:lineRule="auto"/>
      </w:pPr>
      <w:r>
        <w:rPr>
          <w:rFonts w:ascii="Aptos" w:hAnsi="Aptos"/>
          <w:color w:val="C8102E"/>
          <w:sz w:val="30"/>
        </w:rPr>
        <w:t>3. UK Export Finance unlocks £167 million of contracts for British suppliers in Angola</w:t>
      </w:r>
    </w:p>
    <w:p>
      <w:pPr>
        <w:spacing w:before="0" w:after="100" w:line="254" w:lineRule="auto"/>
      </w:pPr>
      <w:r>
        <w:rPr>
          <w:rFonts w:ascii="Aptos" w:hAnsi="Aptos"/>
          <w:b/>
          <w:color w:val="12263A"/>
          <w:sz w:val="20"/>
        </w:rPr>
        <w:t>Status: £655 million of UKEF-supported financing announced on 8 September for four infrastructure projects; the Government says this unlocks £167 million in UK supply contracts. Delivery is through named project developers and contractors, and no SME share or open application round was specified.</w:t>
      </w:r>
    </w:p>
    <w:p>
      <w:pPr>
        <w:spacing w:before="0" w:after="100" w:line="254" w:lineRule="auto"/>
      </w:pPr>
      <w:r>
        <w:rPr>
          <w:rFonts w:ascii="Aptos" w:hAnsi="Aptos"/>
          <w:color w:val="12263A"/>
          <w:sz w:val="20"/>
        </w:rPr>
        <w:t xml:space="preserve">UK Export Finance is supporting the design, construction or refurbishment of four projects in Angola: Cabinda International Airport, the Camama-Viana road, the Uíge electrification project and the Huambo transmission line. The Government says the financing will enable </w:t>
      </w:r>
      <w:r>
        <w:rPr>
          <w:rFonts w:ascii="Aptos" w:hAnsi="Aptos"/>
          <w:b/>
          <w:color w:val="12263A"/>
          <w:sz w:val="20"/>
        </w:rPr>
        <w:t>£167 million of contracts for UK businesses</w:t>
      </w:r>
      <w:r>
        <w:rPr>
          <w:rFonts w:ascii="Aptos" w:hAnsi="Aptos"/>
          <w:color w:val="12263A"/>
          <w:sz w:val="20"/>
        </w:rPr>
        <w:t xml:space="preserve"> across construction, engineering and manufacturing supply chains.</w:t>
      </w:r>
    </w:p>
    <w:p>
      <w:pPr>
        <w:spacing w:before="0" w:after="100" w:line="254" w:lineRule="auto"/>
      </w:pPr>
      <w:hyperlink r:id="rId24">
        <w:r>
          <w:rPr>
            <w:rFonts w:ascii="Aptos" w:hAnsi="Aptos"/>
            <w:color w:val="0563C1"/>
            <w:u w:val="single"/>
            <w:sz w:val="20"/>
          </w:rPr>
          <w:t>UK Export Finance announcement, 8 September 2026</w:t>
        </w:r>
      </w:hyperlink>
    </w:p>
    <w:p>
      <w:pPr>
        <w:spacing w:before="0" w:after="100" w:line="254" w:lineRule="auto"/>
      </w:pPr>
      <w:r>
        <w:rPr>
          <w:rFonts w:ascii="Aptos" w:hAnsi="Aptos"/>
          <w:b/>
          <w:color w:val="12263A"/>
          <w:sz w:val="20"/>
        </w:rPr>
        <w:t>What this means for SMEs - analysis:</w:t>
      </w:r>
      <w:r>
        <w:rPr>
          <w:rFonts w:ascii="Aptos" w:hAnsi="Aptos"/>
          <w:color w:val="12263A"/>
          <w:sz w:val="20"/>
        </w:rPr>
        <w:t xml:space="preserve"> This is evidence of government-backed export finance supporting UK supply-chain work in a challenging market. However, the announcement does not state that the £167 million is available through a general grant or tender, nor that any set share will go to SMEs. Opportunities may sit within the supply chains of the named project developers and lead contractors.</w:t>
      </w:r>
    </w:p>
    <w:p>
      <w:pPr>
        <w:spacing w:before="0" w:after="100" w:line="254" w:lineRule="auto"/>
      </w:pPr>
      <w:r>
        <w:rPr>
          <w:rFonts w:ascii="Aptos" w:hAnsi="Aptos"/>
          <w:b/>
          <w:color w:val="12263A"/>
          <w:sz w:val="20"/>
        </w:rPr>
        <w:t>Practical action:</w:t>
      </w:r>
      <w:r>
        <w:rPr>
          <w:rFonts w:ascii="Aptos" w:hAnsi="Aptos"/>
          <w:color w:val="12263A"/>
          <w:sz w:val="20"/>
        </w:rPr>
        <w:t xml:space="preserve"> Relevant UK suppliers should research the named projects and delivery partners before making contact, and use the Government's export-support services to assess market, payment and political risk. Businesses considering overseas contracts should carry out full due diligence and check whether UKEF products may support their own transactions.</w:t>
      </w:r>
    </w:p>
    <w:p>
      <w:pPr>
        <w:pStyle w:val="Heading1"/>
        <w:keepNext/>
        <w:spacing w:before="200" w:after="100" w:line="254" w:lineRule="auto"/>
      </w:pPr>
      <w:r>
        <w:rPr>
          <w:rFonts w:ascii="Aptos" w:hAnsi="Aptos"/>
          <w:color w:val="C8102E"/>
          <w:sz w:val="30"/>
        </w:rPr>
        <w:t>4. Labour-led regional delivery at Bristol Temple Quarter</w:t>
      </w:r>
    </w:p>
    <w:p>
      <w:pPr>
        <w:spacing w:before="0" w:after="100" w:line="254" w:lineRule="auto"/>
      </w:pPr>
      <w:r>
        <w:rPr>
          <w:rFonts w:ascii="Aptos" w:hAnsi="Aptos"/>
          <w:b/>
          <w:color w:val="12263A"/>
          <w:sz w:val="20"/>
        </w:rPr>
        <w:t>Status: delivery milestone on 8 September. The University of Bristol's Sloane Robinson Building, the eastern entrance to Bristol Temple Meads and a new harbour walkway have opened. Wider regeneration, homes and job projections remain future ambitions.</w:t>
      </w:r>
    </w:p>
    <w:p>
      <w:pPr>
        <w:spacing w:before="0" w:after="100" w:line="254" w:lineRule="auto"/>
      </w:pPr>
      <w:r>
        <w:rPr>
          <w:rFonts w:ascii="Aptos" w:hAnsi="Aptos"/>
          <w:color w:val="12263A"/>
          <w:sz w:val="20"/>
        </w:rPr>
        <w:t xml:space="preserve">West of England Mayor </w:t>
      </w:r>
      <w:r>
        <w:rPr>
          <w:rFonts w:ascii="Aptos" w:hAnsi="Aptos"/>
          <w:b/>
          <w:color w:val="12263A"/>
          <w:sz w:val="20"/>
        </w:rPr>
        <w:t>Helen Godwin</w:t>
      </w:r>
      <w:r>
        <w:rPr>
          <w:rFonts w:ascii="Aptos" w:hAnsi="Aptos"/>
          <w:color w:val="12263A"/>
          <w:sz w:val="20"/>
        </w:rPr>
        <w:t xml:space="preserve"> joined partners to mark the opening of three major projects at Bristol Temple Quarter. The new facilities form part of a regeneration programme supported by more than half a billion pounds of investment, including a </w:t>
      </w:r>
      <w:r>
        <w:rPr>
          <w:rFonts w:ascii="Aptos" w:hAnsi="Aptos"/>
          <w:b/>
          <w:color w:val="12263A"/>
          <w:sz w:val="20"/>
        </w:rPr>
        <w:t>£500 million</w:t>
      </w:r>
      <w:r>
        <w:rPr>
          <w:rFonts w:ascii="Aptos" w:hAnsi="Aptos"/>
          <w:color w:val="12263A"/>
          <w:sz w:val="20"/>
        </w:rPr>
        <w:t xml:space="preserve"> University of Bristol enterprise campus, </w:t>
      </w:r>
      <w:r>
        <w:rPr>
          <w:rFonts w:ascii="Aptos" w:hAnsi="Aptos"/>
          <w:b/>
          <w:color w:val="12263A"/>
          <w:sz w:val="20"/>
        </w:rPr>
        <w:t>£35 million</w:t>
      </w:r>
      <w:r>
        <w:rPr>
          <w:rFonts w:ascii="Aptos" w:hAnsi="Aptos"/>
          <w:color w:val="12263A"/>
          <w:sz w:val="20"/>
        </w:rPr>
        <w:t xml:space="preserve"> from the West of England Mayoral Combined Authority for campus facilities, </w:t>
      </w:r>
      <w:r>
        <w:rPr>
          <w:rFonts w:ascii="Aptos" w:hAnsi="Aptos"/>
          <w:b/>
          <w:color w:val="12263A"/>
          <w:sz w:val="20"/>
        </w:rPr>
        <w:t>£95 million</w:t>
      </w:r>
      <w:r>
        <w:rPr>
          <w:rFonts w:ascii="Aptos" w:hAnsi="Aptos"/>
          <w:color w:val="12263A"/>
          <w:sz w:val="20"/>
        </w:rPr>
        <w:t xml:space="preserve"> of government funding awarded in 2022 to help unlock the wider programme, and more than </w:t>
      </w:r>
      <w:r>
        <w:rPr>
          <w:rFonts w:ascii="Aptos" w:hAnsi="Aptos"/>
          <w:b/>
          <w:color w:val="12263A"/>
          <w:sz w:val="20"/>
        </w:rPr>
        <w:t>£4 million</w:t>
      </w:r>
      <w:r>
        <w:rPr>
          <w:rFonts w:ascii="Aptos" w:hAnsi="Aptos"/>
          <w:color w:val="12263A"/>
          <w:sz w:val="20"/>
        </w:rPr>
        <w:t xml:space="preserve"> from the mayoral authority for the harbour walkway.</w:t>
      </w:r>
    </w:p>
    <w:p>
      <w:pPr>
        <w:spacing w:before="0" w:after="100" w:line="254" w:lineRule="auto"/>
      </w:pPr>
      <w:r>
        <w:rPr>
          <w:rFonts w:ascii="Aptos" w:hAnsi="Aptos"/>
          <w:color w:val="12263A"/>
          <w:sz w:val="20"/>
        </w:rPr>
        <w:t xml:space="preserve">The enterprise campus is intended to connect research, industry and civic partners in technologies including quantum, artificial intelligence, advanced connectivity, cyber security, semiconductors and engineering biology. The wider Temple Quarter programme has plans for </w:t>
      </w:r>
      <w:r>
        <w:rPr>
          <w:rFonts w:ascii="Aptos" w:hAnsi="Aptos"/>
          <w:b/>
          <w:color w:val="12263A"/>
          <w:sz w:val="20"/>
        </w:rPr>
        <w:t>10,000 homes and 22,000 jobs</w:t>
      </w:r>
      <w:r>
        <w:rPr>
          <w:rFonts w:ascii="Aptos" w:hAnsi="Aptos"/>
          <w:color w:val="12263A"/>
          <w:sz w:val="20"/>
        </w:rPr>
        <w:t>, but these figures are programme ambitions rather than outcomes already delivered.</w:t>
      </w:r>
    </w:p>
    <w:p>
      <w:pPr>
        <w:spacing w:before="0" w:after="100" w:line="254" w:lineRule="auto"/>
      </w:pPr>
      <w:hyperlink r:id="rId25">
        <w:r>
          <w:rPr>
            <w:rFonts w:ascii="Aptos" w:hAnsi="Aptos"/>
            <w:color w:val="0563C1"/>
            <w:u w:val="single"/>
            <w:sz w:val="20"/>
          </w:rPr>
          <w:t>West of England Mayoral Combined Authority update, 8 September 2026</w:t>
        </w:r>
      </w:hyperlink>
    </w:p>
    <w:p>
      <w:pPr>
        <w:spacing w:before="0" w:after="100" w:line="254" w:lineRule="auto"/>
      </w:pPr>
      <w:r>
        <w:rPr>
          <w:rFonts w:ascii="Aptos" w:hAnsi="Aptos"/>
          <w:b/>
          <w:color w:val="12263A"/>
          <w:sz w:val="20"/>
        </w:rPr>
        <w:t>What this means for SMEs - analysis:</w:t>
      </w:r>
      <w:r>
        <w:rPr>
          <w:rFonts w:ascii="Aptos" w:hAnsi="Aptos"/>
          <w:color w:val="12263A"/>
          <w:sz w:val="20"/>
        </w:rPr>
        <w:t xml:space="preserve"> The openings improve access to a growing innovation district and may create collaboration, workspace, research and supply-chain opportunities for smaller firms. They do not by themselves establish that the projected homes, jobs or SME contracts have been delivered.</w:t>
      </w:r>
    </w:p>
    <w:p>
      <w:pPr>
        <w:spacing w:before="0" w:after="100" w:line="254" w:lineRule="auto"/>
      </w:pPr>
      <w:r>
        <w:rPr>
          <w:rFonts w:ascii="Aptos" w:hAnsi="Aptos"/>
          <w:b/>
          <w:color w:val="12263A"/>
          <w:sz w:val="20"/>
        </w:rPr>
        <w:t>Practical action:</w:t>
      </w:r>
      <w:r>
        <w:rPr>
          <w:rFonts w:ascii="Aptos" w:hAnsi="Aptos"/>
          <w:color w:val="12263A"/>
          <w:sz w:val="20"/>
        </w:rPr>
        <w:t xml:space="preserve"> West of England firms in the priority technology sectors should monitor university and regional innovation programmes, tenant and partnership opportunities, and forthcoming Temple Quarter procurement. Local employers should also review how the new station entrance changes access for staff and visitors.</w:t>
      </w:r>
    </w:p>
    <w:p>
      <w:pPr>
        <w:pStyle w:val="Heading1"/>
        <w:keepNext/>
        <w:spacing w:before="200" w:after="100" w:line="254" w:lineRule="auto"/>
      </w:pPr>
      <w:r>
        <w:rPr>
          <w:rFonts w:ascii="Aptos" w:hAnsi="Aptos"/>
          <w:color w:val="C8102E"/>
          <w:sz w:val="30"/>
        </w:rPr>
        <w:t>5. DBS fees will fall from 5 October</w:t>
      </w:r>
    </w:p>
    <w:p>
      <w:pPr>
        <w:spacing w:before="0" w:after="100" w:line="254" w:lineRule="auto"/>
      </w:pPr>
      <w:r>
        <w:rPr>
          <w:rFonts w:ascii="Aptos" w:hAnsi="Aptos"/>
          <w:b/>
          <w:color w:val="12263A"/>
          <w:sz w:val="20"/>
        </w:rPr>
        <w:t>Status: fee reductions announced on 9 September and due to take effect on 5 October 2026 through a statutory instrument.</w:t>
      </w:r>
    </w:p>
    <w:p>
      <w:pPr>
        <w:spacing w:before="0" w:after="100" w:line="254" w:lineRule="auto"/>
      </w:pPr>
      <w:r>
        <w:rPr>
          <w:rFonts w:ascii="Aptos" w:hAnsi="Aptos"/>
          <w:color w:val="12263A"/>
          <w:sz w:val="20"/>
        </w:rPr>
        <w:t xml:space="preserve">The Disclosure and Barring Service will reduce the price of basic and standard checks from </w:t>
      </w:r>
      <w:r>
        <w:rPr>
          <w:rFonts w:ascii="Aptos" w:hAnsi="Aptos"/>
          <w:b/>
          <w:color w:val="12263A"/>
          <w:sz w:val="20"/>
        </w:rPr>
        <w:t>£21.50 to £20</w:t>
      </w:r>
      <w:r>
        <w:rPr>
          <w:rFonts w:ascii="Aptos" w:hAnsi="Aptos"/>
          <w:color w:val="12263A"/>
          <w:sz w:val="20"/>
        </w:rPr>
        <w:t xml:space="preserve">, enhanced checks from </w:t>
      </w:r>
      <w:r>
        <w:rPr>
          <w:rFonts w:ascii="Aptos" w:hAnsi="Aptos"/>
          <w:b/>
          <w:color w:val="12263A"/>
          <w:sz w:val="20"/>
        </w:rPr>
        <w:t>£49.50 to £41</w:t>
      </w:r>
      <w:r>
        <w:rPr>
          <w:rFonts w:ascii="Aptos" w:hAnsi="Aptos"/>
          <w:color w:val="12263A"/>
          <w:sz w:val="20"/>
        </w:rPr>
        <w:t xml:space="preserve">, and annual Update Service subscriptions from </w:t>
      </w:r>
      <w:r>
        <w:rPr>
          <w:rFonts w:ascii="Aptos" w:hAnsi="Aptos"/>
          <w:b/>
          <w:color w:val="12263A"/>
          <w:sz w:val="20"/>
        </w:rPr>
        <w:t>£16 to £15</w:t>
      </w:r>
      <w:r>
        <w:rPr>
          <w:rFonts w:ascii="Aptos" w:hAnsi="Aptos"/>
          <w:color w:val="12263A"/>
          <w:sz w:val="20"/>
        </w:rPr>
        <w:t>. Volunteer checks remain free.</w:t>
      </w:r>
    </w:p>
    <w:p>
      <w:pPr>
        <w:spacing w:before="0" w:after="100" w:line="254" w:lineRule="auto"/>
      </w:pPr>
      <w:hyperlink r:id="rId26">
        <w:r>
          <w:rPr>
            <w:rFonts w:ascii="Aptos" w:hAnsi="Aptos"/>
            <w:color w:val="0563C1"/>
            <w:u w:val="single"/>
            <w:sz w:val="20"/>
          </w:rPr>
          <w:t>DBS announcement, 9 September 2026</w:t>
        </w:r>
      </w:hyperlink>
    </w:p>
    <w:p>
      <w:pPr>
        <w:spacing w:before="0" w:after="100" w:line="254" w:lineRule="auto"/>
      </w:pPr>
      <w:r>
        <w:rPr>
          <w:rFonts w:ascii="Aptos" w:hAnsi="Aptos"/>
          <w:b/>
          <w:color w:val="12263A"/>
          <w:sz w:val="20"/>
        </w:rPr>
        <w:t>What this means for SMEs - analysis:</w:t>
      </w:r>
      <w:r>
        <w:rPr>
          <w:rFonts w:ascii="Aptos" w:hAnsi="Aptos"/>
          <w:color w:val="12263A"/>
          <w:sz w:val="20"/>
        </w:rPr>
        <w:t xml:space="preserve"> The saving per check is modest for most businesses but can add up for smaller employers that recruit regularly in care, education, security, transport and other regulated or trust-based roles. Registered Bodies and Responsible Organisations may add their own administration fees, so the total amount paid can differ from the DBS fee.</w:t>
      </w:r>
    </w:p>
    <w:p>
      <w:pPr>
        <w:spacing w:before="0" w:after="100" w:line="254" w:lineRule="auto"/>
      </w:pPr>
      <w:r>
        <w:rPr>
          <w:rFonts w:ascii="Aptos" w:hAnsi="Aptos"/>
          <w:b/>
          <w:color w:val="12263A"/>
          <w:sz w:val="20"/>
        </w:rPr>
        <w:t>Practical action:</w:t>
      </w:r>
      <w:r>
        <w:rPr>
          <w:rFonts w:ascii="Aptos" w:hAnsi="Aptos"/>
          <w:color w:val="12263A"/>
          <w:sz w:val="20"/>
        </w:rPr>
        <w:t xml:space="preserve"> Employers and umbrella bodies should update budgets, systems and applicant-facing information before 5 October, while checking that each role is eligible for the level of check requested.</w:t>
      </w:r>
    </w:p>
    <w:p>
      <w:pPr>
        <w:pStyle w:val="Heading1"/>
        <w:keepNext/>
        <w:spacing w:before="200" w:after="100" w:line="254" w:lineRule="auto"/>
      </w:pPr>
      <w:r>
        <w:rPr>
          <w:rFonts w:ascii="Aptos" w:hAnsi="Aptos"/>
          <w:color w:val="C8102E"/>
          <w:sz w:val="30"/>
        </w:rPr>
        <w:t>6. UK-US SME Dialogue puts small-firm trade barriers on the agenda</w:t>
      </w:r>
    </w:p>
    <w:p>
      <w:pPr>
        <w:spacing w:before="0" w:after="100" w:line="254" w:lineRule="auto"/>
      </w:pPr>
      <w:r>
        <w:rPr>
          <w:rFonts w:ascii="Aptos" w:hAnsi="Aptos"/>
          <w:b/>
          <w:color w:val="12263A"/>
          <w:sz w:val="20"/>
        </w:rPr>
        <w:t>Status: engagement milestone. The tenth UK-US SME Dialogue was held in Cardiff on 9 September and reported by the Government on 11 September. No new grant, trade rule or implementation deadline was announced.</w:t>
      </w:r>
    </w:p>
    <w:p>
      <w:pPr>
        <w:spacing w:before="0" w:after="100" w:line="254" w:lineRule="auto"/>
      </w:pPr>
      <w:r>
        <w:rPr>
          <w:rFonts w:ascii="Aptos" w:hAnsi="Aptos"/>
          <w:color w:val="12263A"/>
          <w:sz w:val="20"/>
        </w:rPr>
        <w:t xml:space="preserve">More than </w:t>
      </w:r>
      <w:r>
        <w:rPr>
          <w:rFonts w:ascii="Aptos" w:hAnsi="Aptos"/>
          <w:b/>
          <w:color w:val="12263A"/>
          <w:sz w:val="20"/>
        </w:rPr>
        <w:t>80 UK and US SMEs and business organisations</w:t>
      </w:r>
      <w:r>
        <w:rPr>
          <w:rFonts w:ascii="Aptos" w:hAnsi="Aptos"/>
          <w:color w:val="12263A"/>
          <w:sz w:val="20"/>
        </w:rPr>
        <w:t xml:space="preserve"> joined officials from the UK Department for Business, Innovation, Science and Trade, the Office of the United States Trade Representative, the US Department of Commerce and the US Small Business Administration. Discussions covered barriers to SME trade, manufacturing, digital and AI innovation, supply chains and investment.</w:t>
      </w:r>
    </w:p>
    <w:p>
      <w:pPr>
        <w:spacing w:before="0" w:after="100" w:line="254" w:lineRule="auto"/>
      </w:pPr>
      <w:hyperlink r:id="rId27">
        <w:r>
          <w:rPr>
            <w:rFonts w:ascii="Aptos" w:hAnsi="Aptos"/>
            <w:color w:val="0563C1"/>
            <w:u w:val="single"/>
            <w:sz w:val="20"/>
          </w:rPr>
          <w:t>Government statement, 11 September 2026</w:t>
        </w:r>
      </w:hyperlink>
    </w:p>
    <w:p>
      <w:pPr>
        <w:spacing w:before="0" w:after="100" w:line="254" w:lineRule="auto"/>
      </w:pPr>
      <w:r>
        <w:rPr>
          <w:rFonts w:ascii="Aptos" w:hAnsi="Aptos"/>
          <w:b/>
          <w:color w:val="12263A"/>
          <w:sz w:val="20"/>
        </w:rPr>
        <w:t>What this means for SMEs - analysis:</w:t>
      </w:r>
      <w:r>
        <w:rPr>
          <w:rFonts w:ascii="Aptos" w:hAnsi="Aptos"/>
          <w:color w:val="12263A"/>
          <w:sz w:val="20"/>
        </w:rPr>
        <w:t xml:space="preserve"> Direct engagement gives smaller firms an opportunity to place practical trade problems before both governments. The statement records discussion and commitment, not a new support programme or removal of a specific barrier. Follow-through and published actions will determine its value.</w:t>
      </w:r>
    </w:p>
    <w:p>
      <w:pPr>
        <w:spacing w:before="0" w:after="100" w:line="254" w:lineRule="auto"/>
      </w:pPr>
      <w:r>
        <w:rPr>
          <w:rFonts w:ascii="Aptos" w:hAnsi="Aptos"/>
          <w:b/>
          <w:color w:val="12263A"/>
          <w:sz w:val="20"/>
        </w:rPr>
        <w:t>Practical action:</w:t>
      </w:r>
      <w:r>
        <w:rPr>
          <w:rFonts w:ascii="Aptos" w:hAnsi="Aptos"/>
          <w:color w:val="12263A"/>
          <w:sz w:val="20"/>
        </w:rPr>
        <w:t xml:space="preserve"> Businesses trading with, or trying to enter, the US market should document specific regulatory, customs, standards, finance and market-access barriers and feed them into the Department's export-support channels and relevant trade bodies.</w:t>
      </w:r>
    </w:p>
    <w:p>
      <w:pPr>
        <w:pStyle w:val="Heading1"/>
        <w:keepNext/>
        <w:spacing w:before="200" w:after="100" w:line="254" w:lineRule="auto"/>
      </w:pPr>
      <w:r>
        <w:rPr>
          <w:rFonts w:ascii="Aptos" w:hAnsi="Aptos"/>
          <w:color w:val="C8102E"/>
          <w:sz w:val="30"/>
        </w:rPr>
        <w:t>Key dates and actions</w:t>
      </w:r>
    </w:p>
    <w:p>
      <w:pPr>
        <w:spacing w:before="0" w:after="100" w:line="254" w:lineRule="auto"/>
      </w:pPr>
      <w:r>
        <w:rPr>
          <w:rFonts w:ascii="Aptos" w:hAnsi="Aptos"/>
          <w:color w:val="12263A"/>
          <w:sz w:val="20"/>
        </w:rPr>
        <w:t>The following includes current deadlines from earlier announcements. They are practical reminders, not new developments from this reporting week.</w:t>
      </w:r>
    </w:p>
    <w:tbl>
      <w:tblPr>
        <w:tblW w:type="auto" w:w="0"/>
        <w:jc w:val="center"/>
        <w:tblLayout w:type="fixed"/>
        <w:tblLook w:firstColumn="1" w:firstRow="1" w:lastColumn="0" w:lastRow="0" w:noHBand="0" w:noVBand="1" w:val="04A0"/>
      </w:tblPr>
      <w:tblGrid>
        <w:gridCol w:w="3389"/>
        <w:gridCol w:w="3389"/>
        <w:gridCol w:w="3389"/>
      </w:tblGrid>
      <w:tr>
        <w:trPr>
          <w:tblHeader w:val="true"/>
        </w:trPr>
        <w:tc>
          <w:tcPr>
            <w:tcW w:type="dxa" w:w="1656"/>
            <w:vAlign w:val="top"/>
            <w:tcMar>
              <w:top w:w="70" w:type="dxa"/>
              <w:start w:w="90" w:type="dxa"/>
              <w:bottom w:w="70" w:type="dxa"/>
              <w:end w:w="90" w:type="dxa"/>
            </w:tcMar>
            <w:shd w:fill="C8102E"/>
          </w:tcPr>
          <w:p>
            <w:pPr>
              <w:spacing w:before="0" w:after="0" w:line="240" w:lineRule="auto"/>
            </w:pPr>
            <w:r>
              <w:rPr>
                <w:rFonts w:ascii="Aptos" w:hAnsi="Aptos"/>
                <w:b/>
                <w:color w:val="FFFFFF"/>
                <w:sz w:val="16"/>
              </w:rPr>
              <w:t>Date</w:t>
            </w:r>
          </w:p>
        </w:tc>
        <w:tc>
          <w:tcPr>
            <w:tcW w:type="dxa" w:w="3384"/>
            <w:vAlign w:val="top"/>
            <w:tcMar>
              <w:top w:w="70" w:type="dxa"/>
              <w:start w:w="90" w:type="dxa"/>
              <w:bottom w:w="70" w:type="dxa"/>
              <w:end w:w="90" w:type="dxa"/>
            </w:tcMar>
            <w:shd w:fill="C8102E"/>
          </w:tcPr>
          <w:p>
            <w:pPr>
              <w:spacing w:before="0" w:after="0" w:line="240" w:lineRule="auto"/>
            </w:pPr>
            <w:r>
              <w:rPr>
                <w:rFonts w:ascii="Aptos" w:hAnsi="Aptos"/>
                <w:b/>
                <w:color w:val="FFFFFF"/>
                <w:sz w:val="16"/>
              </w:rPr>
              <w:t>Action</w:t>
            </w:r>
          </w:p>
        </w:tc>
        <w:tc>
          <w:tcPr>
            <w:tcW w:type="dxa" w:w="4320"/>
            <w:vAlign w:val="top"/>
            <w:tcMar>
              <w:top w:w="70" w:type="dxa"/>
              <w:start w:w="90" w:type="dxa"/>
              <w:bottom w:w="70" w:type="dxa"/>
              <w:end w:w="90" w:type="dxa"/>
            </w:tcMar>
            <w:shd w:fill="C8102E"/>
          </w:tcPr>
          <w:p>
            <w:pPr>
              <w:spacing w:before="0" w:after="0" w:line="240" w:lineRule="auto"/>
            </w:pPr>
            <w:r>
              <w:rPr>
                <w:rFonts w:ascii="Aptos" w:hAnsi="Aptos"/>
                <w:b/>
                <w:color w:val="FFFFFF"/>
                <w:sz w:val="16"/>
              </w:rPr>
              <w:t>Why it matters</w:t>
            </w:r>
          </w:p>
        </w:tc>
      </w:tr>
      <w:tr>
        <w:tc>
          <w:tcPr>
            <w:tcW w:type="dxa" w:w="1656"/>
            <w:vAlign w:val="top"/>
            <w:tcMar>
              <w:top w:w="70" w:type="dxa"/>
              <w:start w:w="90" w:type="dxa"/>
              <w:bottom w:w="70" w:type="dxa"/>
              <w:end w:w="90" w:type="dxa"/>
            </w:tcMar>
            <w:shd w:fill="FFFFFF"/>
          </w:tcPr>
          <w:p>
            <w:pPr>
              <w:spacing w:before="0" w:after="0" w:line="240" w:lineRule="auto"/>
            </w:pPr>
            <w:r>
              <w:rPr>
                <w:rFonts w:ascii="Aptos" w:hAnsi="Aptos"/>
                <w:b/>
                <w:color w:val="12263A"/>
                <w:sz w:val="16"/>
              </w:rPr>
              <w:t>22 September 2026</w:t>
            </w:r>
          </w:p>
        </w:tc>
        <w:tc>
          <w:tcPr>
            <w:tcW w:type="dxa" w:w="3384"/>
            <w:vAlign w:val="top"/>
            <w:tcMar>
              <w:top w:w="70" w:type="dxa"/>
              <w:start w:w="90" w:type="dxa"/>
              <w:bottom w:w="70" w:type="dxa"/>
              <w:end w:w="90" w:type="dxa"/>
            </w:tcMar>
            <w:shd w:fill="FFFFFF"/>
          </w:tcPr>
          <w:p>
            <w:pPr>
              <w:spacing w:before="0" w:after="0" w:line="240" w:lineRule="auto"/>
            </w:pPr>
            <w:hyperlink r:id="rId13">
              <w:r>
                <w:rPr>
                  <w:rFonts w:ascii="Aptos" w:hAnsi="Aptos"/>
                  <w:color w:val="0563C1"/>
                  <w:u w:val="single"/>
                  <w:sz w:val="20"/>
                </w:rPr>
                <w:t>Holiday pay compliance and enforcement consultation</w:t>
              </w:r>
            </w:hyperlink>
          </w:p>
        </w:tc>
        <w:tc>
          <w:tcPr>
            <w:tcW w:type="dxa" w:w="4320"/>
            <w:vAlign w:val="top"/>
            <w:tcMar>
              <w:top w:w="70" w:type="dxa"/>
              <w:start w:w="90" w:type="dxa"/>
              <w:bottom w:w="70" w:type="dxa"/>
              <w:end w:w="90" w:type="dxa"/>
            </w:tcMar>
            <w:shd w:fill="FFFFFF"/>
          </w:tcPr>
          <w:p>
            <w:pPr>
              <w:spacing w:before="0" w:after="0" w:line="240" w:lineRule="auto"/>
            </w:pPr>
            <w:r>
              <w:rPr>
                <w:rFonts w:ascii="Aptos" w:hAnsi="Aptos"/>
                <w:color w:val="12263A"/>
                <w:sz w:val="16"/>
              </w:rPr>
              <w:t>Employers can comment on proportionate enforcement and the guidance needed for compliance.</w:t>
            </w:r>
          </w:p>
        </w:tc>
      </w:tr>
      <w:tr>
        <w:tc>
          <w:tcPr>
            <w:tcW w:type="dxa" w:w="1656"/>
            <w:vAlign w:val="top"/>
            <w:tcMar>
              <w:top w:w="70" w:type="dxa"/>
              <w:start w:w="90" w:type="dxa"/>
              <w:bottom w:w="70" w:type="dxa"/>
              <w:end w:w="90" w:type="dxa"/>
            </w:tcMar>
            <w:shd w:fill="F2F4F6"/>
          </w:tcPr>
          <w:p>
            <w:pPr>
              <w:spacing w:before="0" w:after="0" w:line="240" w:lineRule="auto"/>
            </w:pPr>
            <w:r>
              <w:rPr>
                <w:rFonts w:ascii="Aptos" w:hAnsi="Aptos"/>
                <w:b/>
                <w:color w:val="12263A"/>
                <w:sz w:val="16"/>
              </w:rPr>
              <w:t>23 September 2026, 12 noon BST</w:t>
            </w:r>
          </w:p>
        </w:tc>
        <w:tc>
          <w:tcPr>
            <w:tcW w:type="dxa" w:w="3384"/>
            <w:vAlign w:val="top"/>
            <w:tcMar>
              <w:top w:w="70" w:type="dxa"/>
              <w:start w:w="90" w:type="dxa"/>
              <w:bottom w:w="70" w:type="dxa"/>
              <w:end w:w="90" w:type="dxa"/>
            </w:tcMar>
            <w:shd w:fill="F2F4F6"/>
          </w:tcPr>
          <w:p>
            <w:pPr>
              <w:spacing w:before="0" w:after="0" w:line="240" w:lineRule="auto"/>
            </w:pPr>
            <w:hyperlink r:id="rId15">
              <w:r>
                <w:rPr>
                  <w:rFonts w:ascii="Aptos" w:hAnsi="Aptos"/>
                  <w:color w:val="0563C1"/>
                  <w:u w:val="single"/>
                  <w:sz w:val="20"/>
                </w:rPr>
                <w:t>Project PANOPTES Stage 1</w:t>
              </w:r>
            </w:hyperlink>
          </w:p>
        </w:tc>
        <w:tc>
          <w:tcPr>
            <w:tcW w:type="dxa" w:w="4320"/>
            <w:vAlign w:val="top"/>
            <w:tcMar>
              <w:top w:w="70" w:type="dxa"/>
              <w:start w:w="90" w:type="dxa"/>
              <w:bottom w:w="70" w:type="dxa"/>
              <w:end w:w="90" w:type="dxa"/>
            </w:tcMar>
            <w:shd w:fill="F2F4F6"/>
          </w:tcPr>
          <w:p>
            <w:pPr>
              <w:spacing w:before="0" w:after="0" w:line="240" w:lineRule="auto"/>
            </w:pPr>
            <w:r>
              <w:rPr>
                <w:rFonts w:ascii="Aptos" w:hAnsi="Aptos"/>
                <w:color w:val="12263A"/>
                <w:sz w:val="16"/>
              </w:rPr>
              <w:t>Deadline for eligible UK defence innovators seeking a share of up to £5 million.</w:t>
            </w:r>
          </w:p>
        </w:tc>
      </w:tr>
      <w:tr>
        <w:tc>
          <w:tcPr>
            <w:tcW w:type="dxa" w:w="1656"/>
            <w:vAlign w:val="top"/>
            <w:tcMar>
              <w:top w:w="70" w:type="dxa"/>
              <w:start w:w="90" w:type="dxa"/>
              <w:bottom w:w="70" w:type="dxa"/>
              <w:end w:w="90" w:type="dxa"/>
            </w:tcMar>
            <w:shd w:fill="FFFFFF"/>
          </w:tcPr>
          <w:p>
            <w:pPr>
              <w:spacing w:before="0" w:after="0" w:line="240" w:lineRule="auto"/>
            </w:pPr>
            <w:r>
              <w:rPr>
                <w:rFonts w:ascii="Aptos" w:hAnsi="Aptos"/>
                <w:b/>
                <w:color w:val="12263A"/>
                <w:sz w:val="16"/>
              </w:rPr>
              <w:t>23 September 2026</w:t>
            </w:r>
          </w:p>
        </w:tc>
        <w:tc>
          <w:tcPr>
            <w:tcW w:type="dxa" w:w="3384"/>
            <w:vAlign w:val="top"/>
            <w:tcMar>
              <w:top w:w="70" w:type="dxa"/>
              <w:start w:w="90" w:type="dxa"/>
              <w:bottom w:w="70" w:type="dxa"/>
              <w:end w:w="90" w:type="dxa"/>
            </w:tcMar>
            <w:shd w:fill="FFFFFF"/>
          </w:tcPr>
          <w:p>
            <w:pPr>
              <w:spacing w:before="0" w:after="0" w:line="240" w:lineRule="auto"/>
            </w:pPr>
            <w:hyperlink r:id="rId13">
              <w:r>
                <w:rPr>
                  <w:rFonts w:ascii="Aptos" w:hAnsi="Aptos"/>
                  <w:color w:val="0563C1"/>
                  <w:u w:val="single"/>
                  <w:sz w:val="20"/>
                </w:rPr>
                <w:t>Acas disciplinary and grievance Code consultation</w:t>
              </w:r>
            </w:hyperlink>
          </w:p>
        </w:tc>
        <w:tc>
          <w:tcPr>
            <w:tcW w:type="dxa" w:w="4320"/>
            <w:vAlign w:val="top"/>
            <w:tcMar>
              <w:top w:w="70" w:type="dxa"/>
              <w:start w:w="90" w:type="dxa"/>
              <w:bottom w:w="70" w:type="dxa"/>
              <w:end w:w="90" w:type="dxa"/>
            </w:tcMar>
            <w:shd w:fill="FFFFFF"/>
          </w:tcPr>
          <w:p>
            <w:pPr>
              <w:spacing w:before="0" w:after="0" w:line="240" w:lineRule="auto"/>
            </w:pPr>
            <w:r>
              <w:rPr>
                <w:rFonts w:ascii="Aptos" w:hAnsi="Aptos"/>
                <w:color w:val="12263A"/>
                <w:sz w:val="16"/>
              </w:rPr>
              <w:t>Employers can help shape revised workplace guidance.</w:t>
            </w:r>
          </w:p>
        </w:tc>
      </w:tr>
      <w:tr>
        <w:tc>
          <w:tcPr>
            <w:tcW w:type="dxa" w:w="1656"/>
            <w:vAlign w:val="top"/>
            <w:tcMar>
              <w:top w:w="70" w:type="dxa"/>
              <w:start w:w="90" w:type="dxa"/>
              <w:bottom w:w="70" w:type="dxa"/>
              <w:end w:w="90" w:type="dxa"/>
            </w:tcMar>
            <w:shd w:fill="F2F4F6"/>
          </w:tcPr>
          <w:p>
            <w:pPr>
              <w:spacing w:before="0" w:after="0" w:line="240" w:lineRule="auto"/>
            </w:pPr>
            <w:r>
              <w:rPr>
                <w:rFonts w:ascii="Aptos" w:hAnsi="Aptos"/>
                <w:b/>
                <w:color w:val="12263A"/>
                <w:sz w:val="16"/>
              </w:rPr>
              <w:t>End of September 2026</w:t>
            </w:r>
          </w:p>
        </w:tc>
        <w:tc>
          <w:tcPr>
            <w:tcW w:type="dxa" w:w="3384"/>
            <w:vAlign w:val="top"/>
            <w:tcMar>
              <w:top w:w="70" w:type="dxa"/>
              <w:start w:w="90" w:type="dxa"/>
              <w:bottom w:w="70" w:type="dxa"/>
              <w:end w:w="90" w:type="dxa"/>
            </w:tcMar>
            <w:shd w:fill="F2F4F6"/>
          </w:tcPr>
          <w:p>
            <w:pPr>
              <w:spacing w:before="0" w:after="0" w:line="240" w:lineRule="auto"/>
            </w:pPr>
            <w:hyperlink r:id="rId12">
              <w:r>
                <w:rPr>
                  <w:rFonts w:ascii="Aptos" w:hAnsi="Aptos"/>
                  <w:color w:val="0563C1"/>
                  <w:u w:val="single"/>
                  <w:sz w:val="20"/>
                </w:rPr>
                <w:t>Hospitality Grant Scheme applications expected to begin</w:t>
              </w:r>
            </w:hyperlink>
          </w:p>
        </w:tc>
        <w:tc>
          <w:tcPr>
            <w:tcW w:type="dxa" w:w="4320"/>
            <w:vAlign w:val="top"/>
            <w:tcMar>
              <w:top w:w="70" w:type="dxa"/>
              <w:start w:w="90" w:type="dxa"/>
              <w:bottom w:w="70" w:type="dxa"/>
              <w:end w:w="90" w:type="dxa"/>
            </w:tcMar>
            <w:shd w:fill="F2F4F6"/>
          </w:tcPr>
          <w:p>
            <w:pPr>
              <w:spacing w:before="0" w:after="0" w:line="240" w:lineRule="auto"/>
            </w:pPr>
            <w:r>
              <w:rPr>
                <w:rFonts w:ascii="Aptos" w:hAnsi="Aptos"/>
                <w:color w:val="12263A"/>
                <w:sz w:val="16"/>
              </w:rPr>
              <w:t>The Government says applications will be received from the end of September; a precise public opening or closing date was not visible when checked on 14 September.</w:t>
            </w:r>
          </w:p>
        </w:tc>
      </w:tr>
      <w:tr>
        <w:tc>
          <w:tcPr>
            <w:tcW w:type="dxa" w:w="1656"/>
            <w:vAlign w:val="top"/>
            <w:tcMar>
              <w:top w:w="70" w:type="dxa"/>
              <w:start w:w="90" w:type="dxa"/>
              <w:bottom w:w="70" w:type="dxa"/>
              <w:end w:w="90" w:type="dxa"/>
            </w:tcMar>
            <w:shd w:fill="FFFFFF"/>
          </w:tcPr>
          <w:p>
            <w:pPr>
              <w:spacing w:before="0" w:after="0" w:line="240" w:lineRule="auto"/>
            </w:pPr>
            <w:r>
              <w:rPr>
                <w:rFonts w:ascii="Aptos" w:hAnsi="Aptos"/>
                <w:b/>
                <w:color w:val="12263A"/>
                <w:sz w:val="16"/>
              </w:rPr>
              <w:t>29 September 2026</w:t>
            </w:r>
          </w:p>
        </w:tc>
        <w:tc>
          <w:tcPr>
            <w:tcW w:type="dxa" w:w="3384"/>
            <w:vAlign w:val="top"/>
            <w:tcMar>
              <w:top w:w="70" w:type="dxa"/>
              <w:start w:w="90" w:type="dxa"/>
              <w:bottom w:w="70" w:type="dxa"/>
              <w:end w:w="90" w:type="dxa"/>
            </w:tcMar>
            <w:shd w:fill="FFFFFF"/>
          </w:tcPr>
          <w:p>
            <w:pPr>
              <w:spacing w:before="0" w:after="0" w:line="240" w:lineRule="auto"/>
            </w:pPr>
            <w:hyperlink r:id="rId13">
              <w:r>
                <w:rPr>
                  <w:rFonts w:ascii="Aptos" w:hAnsi="Aptos"/>
                  <w:color w:val="0563C1"/>
                  <w:u w:val="single"/>
                  <w:sz w:val="20"/>
                </w:rPr>
                <w:t>Revised tipping code consultation</w:t>
              </w:r>
            </w:hyperlink>
          </w:p>
        </w:tc>
        <w:tc>
          <w:tcPr>
            <w:tcW w:type="dxa" w:w="4320"/>
            <w:vAlign w:val="top"/>
            <w:tcMar>
              <w:top w:w="70" w:type="dxa"/>
              <w:start w:w="90" w:type="dxa"/>
              <w:bottom w:w="70" w:type="dxa"/>
              <w:end w:w="90" w:type="dxa"/>
            </w:tcMar>
            <w:shd w:fill="FFFFFF"/>
          </w:tcPr>
          <w:p>
            <w:pPr>
              <w:spacing w:before="0" w:after="0" w:line="240" w:lineRule="auto"/>
            </w:pPr>
            <w:r>
              <w:rPr>
                <w:rFonts w:ascii="Aptos" w:hAnsi="Aptos"/>
                <w:color w:val="12263A"/>
                <w:sz w:val="16"/>
              </w:rPr>
              <w:t>Hospitality businesses and workers can comment on practical implementation.</w:t>
            </w:r>
          </w:p>
        </w:tc>
      </w:tr>
      <w:tr>
        <w:tc>
          <w:tcPr>
            <w:tcW w:type="dxa" w:w="1656"/>
            <w:vAlign w:val="top"/>
            <w:tcMar>
              <w:top w:w="70" w:type="dxa"/>
              <w:start w:w="90" w:type="dxa"/>
              <w:bottom w:w="70" w:type="dxa"/>
              <w:end w:w="90" w:type="dxa"/>
            </w:tcMar>
            <w:shd w:fill="F2F4F6"/>
          </w:tcPr>
          <w:p>
            <w:pPr>
              <w:spacing w:before="0" w:after="0" w:line="240" w:lineRule="auto"/>
            </w:pPr>
            <w:r>
              <w:rPr>
                <w:rFonts w:ascii="Aptos" w:hAnsi="Aptos"/>
                <w:b/>
                <w:color w:val="12263A"/>
                <w:sz w:val="16"/>
              </w:rPr>
              <w:t>30 September 2026</w:t>
            </w:r>
          </w:p>
        </w:tc>
        <w:tc>
          <w:tcPr>
            <w:tcW w:type="dxa" w:w="3384"/>
            <w:vAlign w:val="top"/>
            <w:tcMar>
              <w:top w:w="70" w:type="dxa"/>
              <w:start w:w="90" w:type="dxa"/>
              <w:bottom w:w="70" w:type="dxa"/>
              <w:end w:w="90" w:type="dxa"/>
            </w:tcMar>
            <w:shd w:fill="F2F4F6"/>
          </w:tcPr>
          <w:p>
            <w:pPr>
              <w:spacing w:before="0" w:after="0" w:line="240" w:lineRule="auto"/>
            </w:pPr>
            <w:hyperlink r:id="rId13">
              <w:r>
                <w:rPr>
                  <w:rFonts w:ascii="Aptos" w:hAnsi="Aptos"/>
                  <w:color w:val="0563C1"/>
                  <w:u w:val="single"/>
                  <w:sz w:val="20"/>
                </w:rPr>
                <w:t>Workplace monitoring technologies consultation</w:t>
              </w:r>
            </w:hyperlink>
          </w:p>
        </w:tc>
        <w:tc>
          <w:tcPr>
            <w:tcW w:type="dxa" w:w="4320"/>
            <w:vAlign w:val="top"/>
            <w:tcMar>
              <w:top w:w="70" w:type="dxa"/>
              <w:start w:w="90" w:type="dxa"/>
              <w:bottom w:w="70" w:type="dxa"/>
              <w:end w:w="90" w:type="dxa"/>
            </w:tcMar>
            <w:shd w:fill="F2F4F6"/>
          </w:tcPr>
          <w:p>
            <w:pPr>
              <w:spacing w:before="0" w:after="0" w:line="240" w:lineRule="auto"/>
            </w:pPr>
            <w:r>
              <w:rPr>
                <w:rFonts w:ascii="Aptos" w:hAnsi="Aptos"/>
                <w:color w:val="12263A"/>
                <w:sz w:val="16"/>
              </w:rPr>
              <w:t>Relevant to employers using monitoring or algorithmic-management tools.</w:t>
            </w:r>
          </w:p>
        </w:tc>
      </w:tr>
      <w:tr>
        <w:tc>
          <w:tcPr>
            <w:tcW w:type="dxa" w:w="1656"/>
            <w:vAlign w:val="top"/>
            <w:tcMar>
              <w:top w:w="70" w:type="dxa"/>
              <w:start w:w="90" w:type="dxa"/>
              <w:bottom w:w="70" w:type="dxa"/>
              <w:end w:w="90" w:type="dxa"/>
            </w:tcMar>
            <w:shd w:fill="FFFFFF"/>
          </w:tcPr>
          <w:p>
            <w:pPr>
              <w:spacing w:before="0" w:after="0" w:line="240" w:lineRule="auto"/>
            </w:pPr>
            <w:r>
              <w:rPr>
                <w:rFonts w:ascii="Aptos" w:hAnsi="Aptos"/>
                <w:b/>
                <w:color w:val="12263A"/>
                <w:sz w:val="16"/>
              </w:rPr>
              <w:t>5 October 2026</w:t>
            </w:r>
          </w:p>
        </w:tc>
        <w:tc>
          <w:tcPr>
            <w:tcW w:type="dxa" w:w="3384"/>
            <w:vAlign w:val="top"/>
            <w:tcMar>
              <w:top w:w="70" w:type="dxa"/>
              <w:start w:w="90" w:type="dxa"/>
              <w:bottom w:w="70" w:type="dxa"/>
              <w:end w:w="90" w:type="dxa"/>
            </w:tcMar>
            <w:shd w:fill="FFFFFF"/>
          </w:tcPr>
          <w:p>
            <w:pPr>
              <w:spacing w:before="0" w:after="0" w:line="240" w:lineRule="auto"/>
            </w:pPr>
            <w:hyperlink r:id="rId23">
              <w:r>
                <w:rPr>
                  <w:rFonts w:ascii="Aptos" w:hAnsi="Aptos"/>
                  <w:color w:val="0563C1"/>
                  <w:u w:val="single"/>
                  <w:sz w:val="20"/>
                </w:rPr>
                <w:t>Register for Self Assessment</w:t>
              </w:r>
            </w:hyperlink>
          </w:p>
        </w:tc>
        <w:tc>
          <w:tcPr>
            <w:tcW w:type="dxa" w:w="4320"/>
            <w:vAlign w:val="top"/>
            <w:tcMar>
              <w:top w:w="70" w:type="dxa"/>
              <w:start w:w="90" w:type="dxa"/>
              <w:bottom w:w="70" w:type="dxa"/>
              <w:end w:w="90" w:type="dxa"/>
            </w:tcMar>
            <w:shd w:fill="FFFFFF"/>
          </w:tcPr>
          <w:p>
            <w:pPr>
              <w:spacing w:before="0" w:after="0" w:line="240" w:lineRule="auto"/>
            </w:pPr>
            <w:r>
              <w:rPr>
                <w:rFonts w:ascii="Aptos" w:hAnsi="Aptos"/>
                <w:color w:val="12263A"/>
                <w:sz w:val="16"/>
              </w:rPr>
              <w:t>Normal notification deadline for people who need to file for 2025-26 and are not already registered.</w:t>
            </w:r>
          </w:p>
        </w:tc>
      </w:tr>
      <w:tr>
        <w:tc>
          <w:tcPr>
            <w:tcW w:type="dxa" w:w="1656"/>
            <w:vAlign w:val="top"/>
            <w:tcMar>
              <w:top w:w="70" w:type="dxa"/>
              <w:start w:w="90" w:type="dxa"/>
              <w:bottom w:w="70" w:type="dxa"/>
              <w:end w:w="90" w:type="dxa"/>
            </w:tcMar>
            <w:shd w:fill="F2F4F6"/>
          </w:tcPr>
          <w:p>
            <w:pPr>
              <w:spacing w:before="0" w:after="0" w:line="240" w:lineRule="auto"/>
            </w:pPr>
            <w:r>
              <w:rPr>
                <w:rFonts w:ascii="Aptos" w:hAnsi="Aptos"/>
                <w:b/>
                <w:color w:val="12263A"/>
                <w:sz w:val="16"/>
              </w:rPr>
              <w:t>5 October 2026</w:t>
            </w:r>
          </w:p>
        </w:tc>
        <w:tc>
          <w:tcPr>
            <w:tcW w:type="dxa" w:w="3384"/>
            <w:vAlign w:val="top"/>
            <w:tcMar>
              <w:top w:w="70" w:type="dxa"/>
              <w:start w:w="90" w:type="dxa"/>
              <w:bottom w:w="70" w:type="dxa"/>
              <w:end w:w="90" w:type="dxa"/>
            </w:tcMar>
            <w:shd w:fill="F2F4F6"/>
          </w:tcPr>
          <w:p>
            <w:pPr>
              <w:spacing w:before="0" w:after="0" w:line="240" w:lineRule="auto"/>
            </w:pPr>
            <w:hyperlink r:id="rId26">
              <w:r>
                <w:rPr>
                  <w:rFonts w:ascii="Aptos" w:hAnsi="Aptos"/>
                  <w:color w:val="0563C1"/>
                  <w:u w:val="single"/>
                  <w:sz w:val="20"/>
                </w:rPr>
                <w:t>New DBS fees take effect</w:t>
              </w:r>
            </w:hyperlink>
          </w:p>
        </w:tc>
        <w:tc>
          <w:tcPr>
            <w:tcW w:type="dxa" w:w="4320"/>
            <w:vAlign w:val="top"/>
            <w:tcMar>
              <w:top w:w="70" w:type="dxa"/>
              <w:start w:w="90" w:type="dxa"/>
              <w:bottom w:w="70" w:type="dxa"/>
              <w:end w:w="90" w:type="dxa"/>
            </w:tcMar>
            <w:shd w:fill="F2F4F6"/>
          </w:tcPr>
          <w:p>
            <w:pPr>
              <w:spacing w:before="0" w:after="0" w:line="240" w:lineRule="auto"/>
            </w:pPr>
            <w:r>
              <w:rPr>
                <w:rFonts w:ascii="Aptos" w:hAnsi="Aptos"/>
                <w:color w:val="12263A"/>
                <w:sz w:val="16"/>
              </w:rPr>
              <w:t>Employers and checking bodies should update systems and applicant information.</w:t>
            </w:r>
          </w:p>
        </w:tc>
      </w:tr>
      <w:tr>
        <w:tc>
          <w:tcPr>
            <w:tcW w:type="dxa" w:w="1656"/>
            <w:vAlign w:val="top"/>
            <w:tcMar>
              <w:top w:w="70" w:type="dxa"/>
              <w:start w:w="90" w:type="dxa"/>
              <w:bottom w:w="70" w:type="dxa"/>
              <w:end w:w="90" w:type="dxa"/>
            </w:tcMar>
            <w:shd w:fill="FFFFFF"/>
          </w:tcPr>
          <w:p>
            <w:pPr>
              <w:spacing w:before="0" w:after="0" w:line="240" w:lineRule="auto"/>
            </w:pPr>
            <w:r>
              <w:rPr>
                <w:rFonts w:ascii="Aptos" w:hAnsi="Aptos"/>
                <w:b/>
                <w:color w:val="12263A"/>
                <w:sz w:val="16"/>
              </w:rPr>
              <w:t>27 October 2026</w:t>
            </w:r>
          </w:p>
        </w:tc>
        <w:tc>
          <w:tcPr>
            <w:tcW w:type="dxa" w:w="3384"/>
            <w:vAlign w:val="top"/>
            <w:tcMar>
              <w:top w:w="70" w:type="dxa"/>
              <w:start w:w="90" w:type="dxa"/>
              <w:bottom w:w="70" w:type="dxa"/>
              <w:end w:w="90" w:type="dxa"/>
            </w:tcMar>
            <w:shd w:fill="FFFFFF"/>
          </w:tcPr>
          <w:p>
            <w:pPr>
              <w:spacing w:before="0" w:after="0" w:line="240" w:lineRule="auto"/>
            </w:pPr>
            <w:hyperlink r:id="rId13">
              <w:r>
                <w:rPr>
                  <w:rFonts w:ascii="Aptos" w:hAnsi="Aptos"/>
                  <w:color w:val="0563C1"/>
                  <w:u w:val="single"/>
                  <w:sz w:val="20"/>
                </w:rPr>
                <w:t>Equal pay and pay discrimination consultation</w:t>
              </w:r>
            </w:hyperlink>
          </w:p>
        </w:tc>
        <w:tc>
          <w:tcPr>
            <w:tcW w:type="dxa" w:w="4320"/>
            <w:vAlign w:val="top"/>
            <w:tcMar>
              <w:top w:w="70" w:type="dxa"/>
              <w:start w:w="90" w:type="dxa"/>
              <w:bottom w:w="70" w:type="dxa"/>
              <w:end w:w="90" w:type="dxa"/>
            </w:tcMar>
            <w:shd w:fill="FFFFFF"/>
          </w:tcPr>
          <w:p>
            <w:pPr>
              <w:spacing w:before="0" w:after="0" w:line="240" w:lineRule="auto"/>
            </w:pPr>
            <w:r>
              <w:rPr>
                <w:rFonts w:ascii="Aptos" w:hAnsi="Aptos"/>
                <w:color w:val="12263A"/>
                <w:sz w:val="16"/>
              </w:rPr>
              <w:t>Employers can contribute evidence on clarity and workable compliance.</w:t>
            </w:r>
          </w:p>
        </w:tc>
      </w:tr>
      <w:tr>
        <w:tc>
          <w:tcPr>
            <w:tcW w:type="dxa" w:w="1656"/>
            <w:vAlign w:val="top"/>
            <w:tcMar>
              <w:top w:w="70" w:type="dxa"/>
              <w:start w:w="90" w:type="dxa"/>
              <w:bottom w:w="70" w:type="dxa"/>
              <w:end w:w="90" w:type="dxa"/>
            </w:tcMar>
            <w:shd w:fill="F2F4F6"/>
          </w:tcPr>
          <w:p>
            <w:pPr>
              <w:spacing w:before="0" w:after="0" w:line="240" w:lineRule="auto"/>
            </w:pPr>
            <w:r>
              <w:rPr>
                <w:rFonts w:ascii="Aptos" w:hAnsi="Aptos"/>
                <w:b/>
                <w:color w:val="12263A"/>
                <w:sz w:val="16"/>
              </w:rPr>
              <w:t>30 November 2026</w:t>
            </w:r>
          </w:p>
        </w:tc>
        <w:tc>
          <w:tcPr>
            <w:tcW w:type="dxa" w:w="3384"/>
            <w:vAlign w:val="top"/>
            <w:tcMar>
              <w:top w:w="70" w:type="dxa"/>
              <w:start w:w="90" w:type="dxa"/>
              <w:bottom w:w="70" w:type="dxa"/>
              <w:end w:w="90" w:type="dxa"/>
            </w:tcMar>
            <w:shd w:fill="F2F4F6"/>
          </w:tcPr>
          <w:p>
            <w:pPr>
              <w:spacing w:before="0" w:after="0" w:line="240" w:lineRule="auto"/>
            </w:pPr>
            <w:hyperlink r:id="rId11">
              <w:r>
                <w:rPr>
                  <w:rFonts w:ascii="Aptos" w:hAnsi="Aptos"/>
                  <w:color w:val="0563C1"/>
                  <w:u w:val="single"/>
                  <w:sz w:val="20"/>
                </w:rPr>
                <w:t>Corporate reporting consultation</w:t>
              </w:r>
            </w:hyperlink>
          </w:p>
        </w:tc>
        <w:tc>
          <w:tcPr>
            <w:tcW w:type="dxa" w:w="4320"/>
            <w:vAlign w:val="top"/>
            <w:tcMar>
              <w:top w:w="70" w:type="dxa"/>
              <w:start w:w="90" w:type="dxa"/>
              <w:bottom w:w="70" w:type="dxa"/>
              <w:end w:w="90" w:type="dxa"/>
            </w:tcMar>
            <w:shd w:fill="F2F4F6"/>
          </w:tcPr>
          <w:p>
            <w:pPr>
              <w:spacing w:before="0" w:after="0" w:line="240" w:lineRule="auto"/>
            </w:pPr>
            <w:r>
              <w:rPr>
                <w:rFonts w:ascii="Aptos" w:hAnsi="Aptos"/>
                <w:color w:val="12263A"/>
                <w:sz w:val="16"/>
              </w:rPr>
              <w:t>Opportunity to shape SME reporting and audit-exemption proposals.</w:t>
            </w:r>
          </w:p>
        </w:tc>
      </w:tr>
    </w:tbl>
    <w:p>
      <w:pPr>
        <w:spacing w:before="0" w:after="100" w:line="254" w:lineRule="auto"/>
      </w:pPr>
      <w:r>
        <w:rPr>
          <w:rFonts w:ascii="Aptos" w:hAnsi="Aptos"/>
          <w:color w:val="12263A"/>
          <w:sz w:val="20"/>
        </w:rPr>
        <w:t>The employment consultations concern Great Britain; Northern Ireland has separate employment-law arrangements. Future implementation dates on the employment guidance remain subject to parliamentary processes and may change.</w:t>
      </w:r>
    </w:p>
    <w:p>
      <w:pPr>
        <w:pStyle w:val="Heading1"/>
        <w:keepNext/>
        <w:spacing w:before="200" w:after="100" w:line="254" w:lineRule="auto"/>
      </w:pPr>
      <w:r>
        <w:rPr>
          <w:rFonts w:ascii="Aptos" w:hAnsi="Aptos"/>
          <w:color w:val="C8102E"/>
          <w:sz w:val="30"/>
        </w:rPr>
        <w:t>SME4Labour's perspective</w:t>
      </w:r>
    </w:p>
    <w:p>
      <w:pPr>
        <w:spacing w:before="0" w:after="100" w:line="254" w:lineRule="auto"/>
      </w:pPr>
      <w:r>
        <w:rPr>
          <w:rFonts w:ascii="Aptos" w:hAnsi="Aptos"/>
          <w:b/>
          <w:color w:val="12263A"/>
          <w:sz w:val="20"/>
        </w:rPr>
        <w:t>Suggested quote for Ibrahim Dogus, Chair of SME4Labour - draft wording for approval, not a previously issued statement:</w:t>
      </w:r>
    </w:p>
    <w:p>
      <w:pPr>
        <w:spacing w:before="60" w:after="160" w:line="259" w:lineRule="auto"/>
        <w:ind w:left="360" w:right="259"/>
        <w:pBdr>
          <w:left w:val="single" w:sz="20" w:space="8" w:color="C8102E"/>
        </w:pBdr>
      </w:pPr>
      <w:r>
        <w:rPr>
          <w:rFonts w:ascii="Aptos" w:hAnsi="Aptos"/>
          <w:i/>
          <w:color w:val="12263A"/>
          <w:sz w:val="20"/>
        </w:rPr>
        <w:t>"This week's developments show Labour combining long-term ambition with practical improvements. Investment in space and export finance can open new markets and supply chains, while a faster tax-registration service and lower DBS fees reduce everyday friction for people running businesses.</w:t>
      </w:r>
      <w:r>
        <w:rPr>
          <w:i/>
        </w:rPr>
        <w:br/>
      </w:r>
      <w:r>
        <w:rPr>
          <w:i/>
        </w:rPr>
        <w:br/>
      </w:r>
      <w:r>
        <w:rPr>
          <w:rFonts w:ascii="Aptos" w:hAnsi="Aptos"/>
          <w:i/>
          <w:color w:val="12263A"/>
          <w:sz w:val="20"/>
        </w:rPr>
        <w:t>"The next test is access. Smaller firms must be able to see the opportunities early, meet proportionate requirements and compete on fair terms. SME4Labour will continue making the case for procurement, export support and public investment that reach innovative businesses in every region and nation."</w:t>
      </w:r>
    </w:p>
    <w:p>
      <w:pPr>
        <w:pStyle w:val="Heading1"/>
        <w:keepNext/>
        <w:spacing w:before="200" w:after="100" w:line="254" w:lineRule="auto"/>
      </w:pPr>
      <w:r>
        <w:rPr>
          <w:rFonts w:ascii="Aptos" w:hAnsi="Aptos"/>
          <w:color w:val="C8102E"/>
          <w:sz w:val="30"/>
        </w:rPr>
        <w:t>Priority for the week ahead</w:t>
      </w:r>
    </w:p>
    <w:p>
      <w:pPr>
        <w:spacing w:before="0" w:after="100" w:line="254" w:lineRule="auto"/>
      </w:pPr>
      <w:r>
        <w:rPr>
          <w:rFonts w:ascii="Aptos" w:hAnsi="Aptos"/>
          <w:b/>
          <w:color w:val="12263A"/>
          <w:sz w:val="20"/>
        </w:rPr>
        <w:t>Turn new investment pipelines into visible routes for smaller suppliers.</w:t>
      </w:r>
      <w:r>
        <w:rPr>
          <w:rFonts w:ascii="Aptos" w:hAnsi="Aptos"/>
          <w:color w:val="12263A"/>
          <w:sz w:val="20"/>
        </w:rPr>
        <w:t xml:space="preserve"> SME4Labour should seek clarity from the UK Space Agency and relevant departments on upcoming competitions, supplier engagement and how procurement will be made accessible to SMEs. It should also invite exporters and technology firms to submit concise examples of barriers they face when entering US markets or public-sector supply chains.</w:t>
      </w:r>
    </w:p>
    <w:p>
      <w:pPr>
        <w:spacing w:before="0" w:after="100" w:line="254" w:lineRule="auto"/>
      </w:pPr>
      <w:r>
        <w:rPr>
          <w:rFonts w:ascii="Aptos" w:hAnsi="Aptos"/>
          <w:color w:val="12263A"/>
          <w:sz w:val="20"/>
        </w:rPr>
        <w:t>Alongside this, members should be reminded of the 22-23 September consultation and innovation deadlines, and newly self-employed people should be encouraged to check their Self Assessment position well before 5 October.</w:t>
      </w:r>
    </w:p>
    <w:p>
      <w:pPr>
        <w:pStyle w:val="Heading1"/>
        <w:keepNext/>
        <w:spacing w:before="200" w:after="100" w:line="254" w:lineRule="auto"/>
      </w:pPr>
      <w:r>
        <w:rPr>
          <w:rFonts w:ascii="Aptos" w:hAnsi="Aptos"/>
          <w:color w:val="C8102E"/>
          <w:sz w:val="30"/>
        </w:rPr>
        <w:t>About SME4Labour</w:t>
      </w:r>
    </w:p>
    <w:p>
      <w:pPr>
        <w:spacing w:before="0" w:after="100" w:line="254" w:lineRule="auto"/>
      </w:pPr>
      <w:r>
        <w:rPr>
          <w:rFonts w:ascii="Aptos" w:hAnsi="Aptos"/>
          <w:color w:val="12263A"/>
          <w:sz w:val="20"/>
        </w:rPr>
        <w:t>SME4Labour is a Labour supporters' group bringing together small and medium-sized businesses with Labour representatives, trade unions and policymakers. It is not affiliated to the Labour Party and is not a lobbying organisation.</w:t>
      </w:r>
    </w:p>
    <w:p>
      <w:pPr>
        <w:spacing w:before="0" w:after="100" w:line="254" w:lineRule="auto"/>
      </w:pPr>
      <w:r>
        <w:rPr>
          <w:rFonts w:ascii="Aptos" w:hAnsi="Aptos"/>
          <w:i/>
          <w:color w:val="555555"/>
          <w:sz w:val="17"/>
        </w:rPr>
        <w:t>Methodology: Primary sources were checked on 14 September 2026. The main selection covers 7-13 September. SME implications and suggested actions are analysis, not official promises. Funding envelopes, strategies and engagement meetings are not presented as SME contract awards. Bristol's 10,000-home and 22,000-job figures are programme ambitions, not delivered outcomes. No unsupported items have been added to fill a category.</w:t>
      </w:r>
    </w:p>
    <w:p>
      <w:pPr>
        <w:spacing w:before="0" w:after="100" w:line="254" w:lineRule="auto"/>
      </w:pPr>
      <w:r>
        <w:rPr>
          <w:rFonts w:ascii="Aptos" w:hAnsi="Aptos"/>
          <w:i/>
          <w:color w:val="555555"/>
          <w:sz w:val="17"/>
        </w:rPr>
        <w:t>For general information only; not legal, tax, procurement, export or financial advice. Businesses should check eligibility, deadlines, contract terms and implementation details directly before acting.</w:t>
      </w:r>
    </w:p>
    <w:sectPr w:rsidR="00FC693F" w:rsidRPr="0006063C" w:rsidSect="00034616">
      <w:headerReference w:type="default" r:id="rId9"/>
      <w:footerReference w:type="default" r:id="rId10"/>
      <w:pgSz w:w="12240" w:h="15840"/>
      <w:pgMar w:top="936"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SME4Labour Weekly Small Business Briefing | 14 September 2026</w:t>
    </w:r>
  </w:p>
  <w:tbl>
    <w:tblPr>
      <w:tblW w:type="auto" w:w="0"/>
      <w:jc w:val="center"/>
      <w:tblLook w:firstColumn="1" w:firstRow="1" w:lastColumn="0" w:lastRow="0" w:noHBand="0" w:noVBand="1" w:val="04A0"/>
    </w:tblPr>
    <w:tblGrid>
      <w:gridCol w:w="7920"/>
      <w:gridCol w:w="1872"/>
    </w:tblGrid>
    <w:tr>
      <w:tc>
        <w:tcPr>
          <w:tcW w:type="dxa" w:w="4896"/>
        </w:tcPr>
        <w:p>
          <w:pPr>
            <w:spacing w:before="0" w:after="0" w:line="259" w:lineRule="auto"/>
          </w:pPr>
          <w:hyperlink r:id="rId1">
            <w:r>
              <w:rPr>
                <w:rFonts w:ascii="Aptos" w:hAnsi="Aptos"/>
                <w:color w:val="667085"/>
              </w:rPr>
              <w:t>sme4labour.org</w:t>
            </w:r>
          </w:hyperlink>
        </w:p>
      </w:tc>
      <w:tc>
        <w:tcPr>
          <w:tcW w:type="dxa" w:w="4896"/>
        </w:tcPr>
        <w:p>
          <w:pPr>
            <w:spacing w:before="0" w:after="0" w:line="259" w:lineRule="auto"/>
            <w:jc w:val="right"/>
          </w:pPr>
          <w:r>
            <w:rPr>
              <w:rFonts w:ascii="Aptos" w:hAnsi="Aptos"/>
              <w:color w:val="667085"/>
              <w:sz w:val="16"/>
            </w:rPr>
            <w:t xml:space="preserve">Page </w:t>
          </w:r>
          <w:r>
            <w:rPr>
              <w:rFonts w:ascii="Aptos" w:hAnsi="Aptos"/>
              <w:color w:val="667085"/>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60" w:line="259" w:lineRule="auto"/>
      <w:jc w:val="left"/>
      <w:pBdr>
        <w:bottom w:val="single" w:sz="18" w:space="4" w:color="C8102E"/>
      </w:pBdr>
    </w:pPr>
    <w:r>
      <w:rPr>
        <w:rFonts w:ascii="Aptos Display" w:hAnsi="Aptos Display"/>
        <w:b/>
        <w:color w:val="C8102E"/>
        <w:sz w:val="20"/>
      </w:rPr>
      <w:t>SME4LABOUR</w:t>
    </w:r>
    <w:r>
      <w:rPr>
        <w:rFonts w:ascii="Aptos" w:hAnsi="Aptos"/>
        <w:b/>
        <w:color w:val="667085"/>
        <w:sz w:val="17"/>
      </w:rPr>
      <w:t xml:space="preserve">  |  WEEKLY SMALL BUSINESS BRIEFING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226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C8102E"/>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C8102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v.uk/government/news/firms-freed-from-pen-pushing-paperwork-and-costly-red-tape-in-business-reporting-overhaul" TargetMode="External"/><Relationship Id="rId12" Type="http://schemas.openxmlformats.org/officeDocument/2006/relationships/hyperlink" Target="https://www.gov.uk/government/news/10-million-hospitality-grant-scheme-launches-in-boost-for-independent-pubs-restaurants-and-cafes" TargetMode="External"/><Relationship Id="rId13" Type="http://schemas.openxmlformats.org/officeDocument/2006/relationships/hyperlink" Target="https://www.business.gov.uk/campaign/employment-changes/" TargetMode="External"/><Relationship Id="rId14" Type="http://schemas.openxmlformats.org/officeDocument/2006/relationships/hyperlink" Target="https://www.gov.uk/government/news/short-changing-staff-isnt-a-shortcut-to-success-nearly-660-employers-announced-as-failing-to-pay-the-minimum-wage" TargetMode="External"/><Relationship Id="rId15" Type="http://schemas.openxmlformats.org/officeDocument/2006/relationships/hyperlink" Target="https://www.gov.uk/government/publications/project-panoptes-protecting-the-force-enabling-manoeuvre" TargetMode="External"/><Relationship Id="rId16" Type="http://schemas.openxmlformats.org/officeDocument/2006/relationships/hyperlink" Target="https://www.gov.uk/government/news/52-million-released-to-scotlands-regional-leaders" TargetMode="External"/><Relationship Id="rId17" Type="http://schemas.openxmlformats.org/officeDocument/2006/relationships/hyperlink" Target="https://www.liverpoolcityregion-ca.gov.uk/news/historic-switch-to-publicly-controlled-bus-network-in-liverpool-city-region-starts-this-sunday" TargetMode="External"/><Relationship Id="rId18" Type="http://schemas.openxmlformats.org/officeDocument/2006/relationships/hyperlink" Target="https://www.liverpoolcityregion-ca.gov.uk/news/first-of-new-150m-560-strong-bus-fleet-ready-to-hit-the-streets-of-liverpool-city-region-ahead-of-network-being-brought-back-into-public-control" TargetMode="External"/><Relationship Id="rId19" Type="http://schemas.openxmlformats.org/officeDocument/2006/relationships/hyperlink" Target="https://www.gov.uk/government/news/fast-paced-funding-for-force-protection-innovation" TargetMode="External"/><Relationship Id="rId20" Type="http://schemas.openxmlformats.org/officeDocument/2006/relationships/hyperlink" Target="https://www.gov.uk/government/publications/uk-space-strategy" TargetMode="External"/><Relationship Id="rId21" Type="http://schemas.openxmlformats.org/officeDocument/2006/relationships/hyperlink" Target="https://www.gov.uk/government/news/new-space-strategy-will-bolster-uk-defences-against-threats-from-space" TargetMode="External"/><Relationship Id="rId22" Type="http://schemas.openxmlformats.org/officeDocument/2006/relationships/hyperlink" Target="https://www.gov.uk/government/news/improved-self-assessment-registration-service-launched" TargetMode="External"/><Relationship Id="rId23" Type="http://schemas.openxmlformats.org/officeDocument/2006/relationships/hyperlink" Target="https://www.gov.uk/register-for-self-assessment" TargetMode="External"/><Relationship Id="rId24" Type="http://schemas.openxmlformats.org/officeDocument/2006/relationships/hyperlink" Target="https://www.gov.uk/government/news/uk-backing-unlocks-167-million-of-exports-for-british-businesses-in-angola" TargetMode="External"/><Relationship Id="rId25" Type="http://schemas.openxmlformats.org/officeDocument/2006/relationships/hyperlink" Target="https://www.westofengland-ca.gov.uk/news/west-celebrates-triple-bristol-temple-quarter-opening/" TargetMode="External"/><Relationship Id="rId26" Type="http://schemas.openxmlformats.org/officeDocument/2006/relationships/hyperlink" Target="https://www.gov.uk/government/news/dbs-reduces-fees-for-checks-and-update-service-from-5-october-2026" TargetMode="External"/><Relationship Id="rId27" Type="http://schemas.openxmlformats.org/officeDocument/2006/relationships/hyperlink" Target="https://www.gov.uk/government/news/statement-on-the-10th-uk-us-sme-dialogue-cardiff"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sme4labou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SME4Labour Weekly Small Business Briefing - 14 September 2026</dc:title>
  <dc:subject>Positive, practical developments for UK small and medium-sized businesses</dc:subject>
  <dc:creator>SME4Labour</dc:creator>
  <cp:keywords>SME4Labour, small business, SMEs, Labour Government, briefing</cp:keywords>
  <dc:description>generated by python-docx</dc:description>
  <cp:lastModifiedBy/>
  <cp:revision>1</cp:revision>
  <dcterms:created xsi:type="dcterms:W3CDTF">2013-12-23T23:15:00Z</dcterms:created>
  <dcterms:modified xsi:type="dcterms:W3CDTF">2013-12-23T23:15:00Z</dcterms:modified>
  <cp:category/>
</cp:coreProperties>
</file>