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Bdr>
          <w:bottom w:val="single" w:sz="20" w:space="4" w:color="C8102E"/>
        </w:pBdr>
      </w:pPr>
      <w:r>
        <w:rPr>
          <w:b w:val="0"/>
          <w:i w:val="0"/>
        </w:rPr>
        <w:t>SME4Labour Weekly Small Business Briefing</w:t>
      </w:r>
    </w:p>
    <w:tbl>
      <w:tblPr>
        <w:tblW w:type="auto" w:w="0"/>
        <w:jc w:val="center"/>
        <w:tblLayout w:type="fixed"/>
        <w:tblLook w:firstColumn="1" w:firstRow="1" w:lastColumn="0" w:lastRow="0" w:noHBand="0" w:noVBand="1" w:val="04A0"/>
      </w:tblPr>
      <w:tblGrid>
        <w:gridCol w:w="5112"/>
        <w:gridCol w:w="5112"/>
      </w:tblGrid>
      <w:tr>
        <w:tc>
          <w:tcPr>
            <w:tcW w:type="dxa" w:w="3283"/>
            <w:shd w:fill="1F2D3D"/>
            <w:tcMar>
              <w:top w:w="105" w:type="dxa"/>
              <w:start w:w="120" w:type="dxa"/>
              <w:bottom w:w="105" w:type="dxa"/>
              <w:end w:w="120" w:type="dxa"/>
            </w:tcMar>
          </w:tcPr>
          <w:p>
            <w:pPr>
              <w:spacing w:after="0"/>
            </w:pPr>
            <w:r>
              <w:rPr>
                <w:rFonts w:ascii="Aptos" w:hAnsi="Aptos"/>
                <w:b/>
                <w:color w:val="FFFFFF"/>
                <w:sz w:val="18"/>
              </w:rPr>
              <w:t>Monday 21 September 2026</w:t>
            </w:r>
          </w:p>
        </w:tc>
        <w:tc>
          <w:tcPr>
            <w:tcW w:type="dxa" w:w="6868"/>
            <w:shd w:fill="F1F3F5"/>
            <w:tcMar>
              <w:top w:w="105" w:type="dxa"/>
              <w:start w:w="120" w:type="dxa"/>
              <w:bottom w:w="105" w:type="dxa"/>
              <w:end w:w="120" w:type="dxa"/>
            </w:tcMar>
          </w:tcPr>
          <w:p>
            <w:pPr>
              <w:spacing w:after="0"/>
            </w:pPr>
            <w:r>
              <w:rPr>
                <w:rFonts w:ascii="Aptos" w:hAnsi="Aptos"/>
                <w:b/>
                <w:color w:val="1F2D3D"/>
                <w:sz w:val="18"/>
              </w:rPr>
              <w:t>Main reporting period: 14-20 September 2026</w:t>
            </w:r>
          </w:p>
        </w:tc>
      </w:tr>
    </w:tbl>
    <w:p>
      <w:pPr>
        <w:spacing w:after="0"/>
      </w:pPr>
    </w:p>
    <w:p>
      <w:pPr>
        <w:pStyle w:val="Heading1"/>
        <w:pBdr>
          <w:bottom w:val="single" w:sz="6" w:space="3" w:color="D9DDE1"/>
        </w:pBdr>
      </w:pPr>
      <w:r>
        <w:rPr>
          <w:b w:val="0"/>
          <w:i w:val="0"/>
        </w:rPr>
        <w:t>Practical delivery for local businesses, employers and growing sectors</w:t>
      </w:r>
    </w:p>
    <w:p>
      <w:r>
        <w:rPr>
          <w:b w:val="0"/>
          <w:i w:val="0"/>
        </w:rPr>
        <w:t>This week's strongest development is a clear delivery milestone: the UK's 250th banking hub has opened, protecting access to cash and face-to-face services for residents and more than 100 businesses in Chepstow. The week also brought greater certainty for employers on future flexible-working rules, new HMRC tools intended to reduce administrative friction, and targeted investment announcements in education, energy efficiency and food-sector regulation.</w:t>
      </w:r>
    </w:p>
    <w:p>
      <w:r>
        <w:rPr>
          <w:b w:val="0"/>
          <w:i w:val="0"/>
        </w:rPr>
        <w:t>The picture is positive but mixed. Some measures are available now; others are planned for 2027, subject to approval, or preparatory work rather than benefits already realised. This briefing keeps those distinctions clear and identifies practical steps SMEs can take.</w:t>
      </w:r>
    </w:p>
    <w:p>
      <w:pPr>
        <w:pStyle w:val="Heading1"/>
        <w:pBdr>
          <w:bottom w:val="single" w:sz="6" w:space="3" w:color="D9DDE1"/>
        </w:pBdr>
      </w:pPr>
      <w:r>
        <w:rPr>
          <w:b w:val="0"/>
          <w:i w:val="0"/>
        </w:rPr>
        <w:t>1. Headline: the UK's 250th banking hub opens in Chepstow</w:t>
      </w:r>
    </w:p>
    <w:tbl>
      <w:tblPr>
        <w:tblW w:type="auto" w:w="0"/>
        <w:jc w:val="center"/>
        <w:tblLayout w:type="fixed"/>
        <w:tblLook w:firstColumn="1" w:firstRow="1" w:lastColumn="0" w:lastRow="0" w:noHBand="0" w:noVBand="1" w:val="04A0"/>
      </w:tblPr>
      <w:tblGrid>
        <w:gridCol w:w="10224"/>
      </w:tblGrid>
      <w:tr>
        <w:trPr>
          <w:cantSplit/>
        </w:trPr>
        <w:tc>
          <w:tcPr>
            <w:tcW w:type="dxa" w:w="10152"/>
            <w:shd w:fill="F9ECEF"/>
            <w:tcMar>
              <w:top w:w="90" w:type="dxa"/>
              <w:start w:w="125" w:type="dxa"/>
              <w:bottom w:w="90" w:type="dxa"/>
              <w:end w:w="125" w:type="dxa"/>
            </w:tcMar>
          </w:tcPr>
          <w:p>
            <w:pPr>
              <w:spacing w:after="0"/>
            </w:pPr>
            <w:r>
              <w:rPr>
                <w:b/>
                <w:i w:val="0"/>
                <w:sz w:val="18"/>
              </w:rPr>
              <w:t>Status: delivered service. The Chepstow hub opened on 18 September 2026. It is the 250th hub in the UK and forms part of the Government's commitment to deliver at least 350 during this Parliament.</w:t>
            </w:r>
          </w:p>
        </w:tc>
      </w:tr>
    </w:tbl>
    <w:p>
      <w:r>
        <w:rPr>
          <w:b w:val="0"/>
          <w:i w:val="0"/>
        </w:rPr>
        <w:t xml:space="preserve">Treasury Minister </w:t>
      </w:r>
      <w:r>
        <w:rPr>
          <w:b/>
          <w:i w:val="0"/>
        </w:rPr>
        <w:t>Lucy Rigby KC MP</w:t>
      </w:r>
      <w:r>
        <w:rPr>
          <w:b w:val="0"/>
          <w:i w:val="0"/>
        </w:rPr>
        <w:t xml:space="preserve"> opened the hub ahead of the planned closure of Chepstow's last remaining bank branch. The Treasury says the facility preserves cash deposits and withdrawals, cheque deposits, access to rotating community bankers and a free-to-use external ATM for local residents and more than </w:t>
      </w:r>
      <w:r>
        <w:rPr>
          <w:b/>
          <w:i w:val="0"/>
        </w:rPr>
        <w:t>100 businesses</w:t>
      </w:r>
      <w:r>
        <w:rPr>
          <w:b w:val="0"/>
          <w:i w:val="0"/>
        </w:rPr>
        <w:t>.</w:t>
      </w:r>
    </w:p>
    <w:p>
      <w:r>
        <w:rPr>
          <w:b w:val="0"/>
          <w:i w:val="0"/>
        </w:rPr>
        <w:t xml:space="preserve">Cash Access UK, which operates the hubs, reported that more than </w:t>
      </w:r>
      <w:r>
        <w:rPr>
          <w:b/>
          <w:i w:val="0"/>
        </w:rPr>
        <w:t>eight million transactions</w:t>
      </w:r>
      <w:r>
        <w:rPr>
          <w:b w:val="0"/>
          <w:i w:val="0"/>
        </w:rPr>
        <w:t xml:space="preserve"> had been supported across banking hubs and deposit services since the start of 2026.</w:t>
      </w:r>
    </w:p>
    <w:p>
      <w:hyperlink r:id="rId11">
        <w:r>
          <w:rPr>
            <w:color w:val="C8102E"/>
            <w:u w:val="single"/>
          </w:rPr>
          <w:t>HM Treasury announcement, 18 September 2026</w:t>
        </w:r>
      </w:hyperlink>
    </w:p>
    <w:p>
      <w:pPr>
        <w:spacing w:before="80"/>
      </w:pPr>
      <w:r>
        <w:rPr>
          <w:b/>
          <w:i w:val="0"/>
          <w:color w:val="C8102E"/>
        </w:rPr>
        <w:t>What this means for SMEs - analysis:</w:t>
      </w:r>
      <w:r>
        <w:rPr>
          <w:b w:val="0"/>
          <w:i w:val="0"/>
        </w:rPr>
        <w:t xml:space="preserve"> This is a practical improvement for cash-using firms, including retailers, hospitality venues and personal-service businesses. It can reduce the time and cost involved in depositing takings or seeking in-person help after branch closures. The milestone is national, but the direct new service is local to Chepstow; it does not mean every community without a branch now has a hub.</w:t>
      </w:r>
    </w:p>
    <w:p>
      <w:pPr>
        <w:spacing w:before="40"/>
        <w:ind w:left="202"/>
        <w:shd w:fill="F1F3F5"/>
      </w:pPr>
      <w:r>
        <w:rPr>
          <w:b/>
          <w:i w:val="0"/>
        </w:rPr>
        <w:t>Practical action:</w:t>
      </w:r>
      <w:r>
        <w:rPr>
          <w:b w:val="0"/>
          <w:i w:val="0"/>
        </w:rPr>
        <w:t xml:space="preserve"> Businesses in and around Chepstow should check the hub's services and opening arrangements. Firms elsewhere that face loss of local cash services can use the established cash-access assessment process and should document the travel time, security, cash-handling and service impacts they face.</w:t>
      </w:r>
    </w:p>
    <w:p>
      <w:pPr>
        <w:pStyle w:val="Heading1"/>
        <w:pBdr>
          <w:bottom w:val="single" w:sz="6" w:space="3" w:color="D9DDE1"/>
        </w:pBdr>
      </w:pPr>
      <w:r>
        <w:rPr>
          <w:b w:val="0"/>
          <w:i w:val="0"/>
        </w:rPr>
        <w:t>2. Government confirms the future flexible-working process</w:t>
      </w:r>
    </w:p>
    <w:tbl>
      <w:tblPr>
        <w:tblW w:type="auto" w:w="0"/>
        <w:jc w:val="center"/>
        <w:tblLayout w:type="fixed"/>
        <w:tblLook w:firstColumn="1" w:firstRow="1" w:lastColumn="0" w:lastRow="0" w:noHBand="0" w:noVBand="1" w:val="04A0"/>
      </w:tblPr>
      <w:tblGrid>
        <w:gridCol w:w="10224"/>
      </w:tblGrid>
      <w:tr>
        <w:trPr>
          <w:cantSplit/>
        </w:trPr>
        <w:tc>
          <w:tcPr>
            <w:tcW w:type="dxa" w:w="10152"/>
            <w:shd w:fill="F9ECEF"/>
            <w:tcMar>
              <w:top w:w="90" w:type="dxa"/>
              <w:start w:w="125" w:type="dxa"/>
              <w:bottom w:w="90" w:type="dxa"/>
              <w:end w:w="125" w:type="dxa"/>
            </w:tcMar>
          </w:tcPr>
          <w:p>
            <w:pPr>
              <w:spacing w:after="0"/>
            </w:pPr>
            <w:r>
              <w:rPr>
                <w:b/>
                <w:i w:val="0"/>
                <w:sz w:val="18"/>
              </w:rPr>
              <w:t>Status: consultation outcome published on 15 September. The planned statutory process and reasonableness test are intended to take effect in autumn 2027 following secondary legislation. Current rules continue until the changes are commenced.</w:t>
            </w:r>
          </w:p>
        </w:tc>
      </w:tr>
    </w:tbl>
    <w:p>
      <w:r>
        <w:rPr>
          <w:b w:val="0"/>
          <w:i w:val="0"/>
        </w:rPr>
        <w:t>The Government has confirmed that an employer considering rejecting a statutory flexible-working request will have to hold a consultation meeting within the existing two-month decision period, give fair and reasonable notice, explain any challenges, consider solutions and feasible alternatives, and provide the outcome in writing. The meeting is to be conducted with a view to reaching agreement.</w:t>
      </w:r>
    </w:p>
    <w:p>
      <w:r>
        <w:rPr>
          <w:b w:val="0"/>
          <w:i w:val="0"/>
        </w:rPr>
        <w:t>The response retains employers' ability to refuse a request where one of the statutory business reasons applies and refusal is reasonable. It does not create a statutory right of appeal or a statutory right to be accompanied, although guidance will continue to encourage accompaniment. Acas is due to consult on an updated Code, with the final Code intended to take effect alongside the reforms.</w:t>
      </w:r>
    </w:p>
    <w:p>
      <w:hyperlink r:id="rId12">
        <w:r>
          <w:rPr>
            <w:color w:val="C8102E"/>
            <w:u w:val="single"/>
          </w:rPr>
          <w:t>Government consultation outcome</w:t>
        </w:r>
      </w:hyperlink>
      <w:r>
        <w:rPr>
          <w:b w:val="0"/>
          <w:i w:val="0"/>
        </w:rPr>
        <w:t xml:space="preserve"> | </w:t>
      </w:r>
      <w:hyperlink r:id="rId13">
        <w:r>
          <w:rPr>
            <w:color w:val="C8102E"/>
            <w:u w:val="single"/>
          </w:rPr>
          <w:t>Full response, 15 September 2026</w:t>
        </w:r>
      </w:hyperlink>
    </w:p>
    <w:p>
      <w:pPr>
        <w:spacing w:before="80"/>
      </w:pPr>
      <w:r>
        <w:rPr>
          <w:b/>
          <w:i w:val="0"/>
          <w:color w:val="C8102E"/>
        </w:rPr>
        <w:t>What this means for SMEs - analysis:</w:t>
      </w:r>
      <w:r>
        <w:rPr>
          <w:b w:val="0"/>
          <w:i w:val="0"/>
        </w:rPr>
        <w:t xml:space="preserve"> Publication well ahead of implementation gives smaller employers time to adapt policies and train line managers. The confirmed approach is more structured and may add administration where processes are informal, but it is designed to support workable alternatives, retention and access to a wider talent pool. The reforms apply to Great Britain; Northern Ireland has separate employment-law arrangements.</w:t>
      </w:r>
    </w:p>
    <w:p>
      <w:pPr>
        <w:spacing w:before="40"/>
        <w:ind w:left="202"/>
        <w:shd w:fill="F1F3F5"/>
      </w:pPr>
      <w:r>
        <w:rPr>
          <w:b/>
          <w:i w:val="0"/>
        </w:rPr>
        <w:t>Practical action:</w:t>
      </w:r>
      <w:r>
        <w:rPr>
          <w:b w:val="0"/>
          <w:i w:val="0"/>
        </w:rPr>
        <w:t xml:space="preserve"> Employers should compare existing policies with the planned steps, improve record-keeping and consider how trial periods or time-limited arrangements could work. No business should present the autumn 2027 process as already in force, and employers should watch for the Acas consultation and final commencement details.</w:t>
      </w:r>
    </w:p>
    <w:p>
      <w:pPr>
        <w:pStyle w:val="Heading1"/>
        <w:pBdr>
          <w:bottom w:val="single" w:sz="6" w:space="3" w:color="D9DDE1"/>
        </w:pBdr>
      </w:pPr>
      <w:r>
        <w:rPr>
          <w:b w:val="0"/>
          <w:i w:val="0"/>
        </w:rPr>
        <w:t>3. New HMRC digital tools reduce friction and clarify deadlines</w:t>
      </w:r>
    </w:p>
    <w:tbl>
      <w:tblPr>
        <w:tblW w:type="auto" w:w="0"/>
        <w:jc w:val="center"/>
        <w:tblLayout w:type="fixed"/>
        <w:tblLook w:firstColumn="1" w:firstRow="1" w:lastColumn="0" w:lastRow="0" w:noHBand="0" w:noVBand="1" w:val="04A0"/>
      </w:tblPr>
      <w:tblGrid>
        <w:gridCol w:w="10224"/>
      </w:tblGrid>
      <w:tr>
        <w:trPr>
          <w:cantSplit/>
        </w:trPr>
        <w:tc>
          <w:tcPr>
            <w:tcW w:type="dxa" w:w="10152"/>
            <w:shd w:fill="F9ECEF"/>
            <w:tcMar>
              <w:top w:w="90" w:type="dxa"/>
              <w:start w:w="125" w:type="dxa"/>
              <w:bottom w:w="90" w:type="dxa"/>
              <w:end w:w="125" w:type="dxa"/>
            </w:tcMar>
          </w:tcPr>
          <w:p>
            <w:pPr>
              <w:spacing w:after="0"/>
            </w:pPr>
            <w:r>
              <w:rPr>
                <w:b/>
                <w:i w:val="0"/>
                <w:sz w:val="18"/>
              </w:rPr>
              <w:t>Status: service improvements documented in HMRC's Agent Update on 18 September. The tax-deadline tool and online certificate route are available now.</w:t>
            </w:r>
          </w:p>
        </w:tc>
      </w:tr>
    </w:tbl>
    <w:p>
      <w:r>
        <w:rPr>
          <w:b w:val="0"/>
          <w:i w:val="0"/>
        </w:rPr>
        <w:t>HMRC has introduced a free online tool allowing businesses and advisers to check filing and payment deadlines for the Construction Industry Scheme, PAYE, Self Assessment and VAT. Results can be printed or added to most calendar applications, and users do not need to sign in.</w:t>
      </w:r>
    </w:p>
    <w:p>
      <w:r>
        <w:rPr>
          <w:b w:val="0"/>
          <w:i w:val="0"/>
        </w:rPr>
        <w:t xml:space="preserve">HMRC has also moved all applications for certificates of residence and letters of confirmation to a single online route. The service provides an acknowledgement and reference number and allows overseas tax-authority forms to be uploaded. Separately, HMRC says the second quarterly update deadline for businesses within Making Tax Digital for Income Tax is </w:t>
      </w:r>
      <w:r>
        <w:rPr>
          <w:b/>
          <w:i w:val="0"/>
        </w:rPr>
        <w:t>7 November 2026</w:t>
      </w:r>
      <w:r>
        <w:rPr>
          <w:b w:val="0"/>
          <w:i w:val="0"/>
        </w:rPr>
        <w:t>.</w:t>
      </w:r>
    </w:p>
    <w:p>
      <w:hyperlink r:id="rId14">
        <w:r>
          <w:rPr>
            <w:color w:val="C8102E"/>
            <w:u w:val="single"/>
          </w:rPr>
          <w:t>HMRC Agent Update 147, updated 18 September 2026</w:t>
        </w:r>
      </w:hyperlink>
    </w:p>
    <w:p>
      <w:pPr>
        <w:spacing w:before="80"/>
      </w:pPr>
      <w:r>
        <w:rPr>
          <w:b/>
          <w:i w:val="0"/>
          <w:color w:val="C8102E"/>
        </w:rPr>
        <w:t>What this means for SMEs - analysis:</w:t>
      </w:r>
      <w:r>
        <w:rPr>
          <w:b w:val="0"/>
          <w:i w:val="0"/>
        </w:rPr>
        <w:t xml:space="preserve"> The deadline tool can help small employers and sole traders reduce missed dates and penalties, while the online certificate route should make cross-border tax administration easier to track. These are administrative improvements, not changes to tax liabilities or filing obligations.</w:t>
      </w:r>
    </w:p>
    <w:p>
      <w:pPr>
        <w:spacing w:before="40"/>
        <w:ind w:left="202"/>
        <w:shd w:fill="F1F3F5"/>
      </w:pPr>
      <w:r>
        <w:rPr>
          <w:b/>
          <w:i w:val="0"/>
        </w:rPr>
        <w:t>Practical action:</w:t>
      </w:r>
      <w:r>
        <w:rPr>
          <w:b w:val="0"/>
          <w:i w:val="0"/>
        </w:rPr>
        <w:t xml:space="preserve"> Businesses should add relevant dates to their finance calendars, confirm who owns each filing task and use the new online route for residence certificates. MTD customers with qualifying self-employment or property income should confirm that compatible software and quarterly records are in place before 7 November.</w:t>
      </w:r>
    </w:p>
    <w:p>
      <w:pPr>
        <w:pStyle w:val="Heading1"/>
        <w:pBdr>
          <w:bottom w:val="single" w:sz="6" w:space="3" w:color="D9DDE1"/>
        </w:pBdr>
      </w:pPr>
      <w:r>
        <w:rPr>
          <w:b w:val="0"/>
          <w:i w:val="0"/>
        </w:rPr>
        <w:t>4. Liverpool City Region proposes £5.5 million solar and battery fund</w:t>
      </w:r>
    </w:p>
    <w:tbl>
      <w:tblPr>
        <w:tblW w:type="auto" w:w="0"/>
        <w:jc w:val="center"/>
        <w:tblLayout w:type="fixed"/>
        <w:tblLook w:firstColumn="1" w:firstRow="1" w:lastColumn="0" w:lastRow="0" w:noHBand="0" w:noVBand="1" w:val="04A0"/>
      </w:tblPr>
      <w:tblGrid>
        <w:gridCol w:w="10224"/>
      </w:tblGrid>
      <w:tr>
        <w:trPr>
          <w:cantSplit/>
        </w:trPr>
        <w:tc>
          <w:tcPr>
            <w:tcW w:type="dxa" w:w="10152"/>
            <w:shd w:fill="F9ECEF"/>
            <w:tcMar>
              <w:top w:w="90" w:type="dxa"/>
              <w:start w:w="125" w:type="dxa"/>
              <w:bottom w:w="90" w:type="dxa"/>
              <w:end w:w="125" w:type="dxa"/>
            </w:tcMar>
          </w:tcPr>
          <w:p>
            <w:pPr>
              <w:spacing w:after="0"/>
            </w:pPr>
            <w:r>
              <w:rPr>
                <w:b/>
                <w:i w:val="0"/>
                <w:sz w:val="18"/>
              </w:rPr>
              <w:t>Status: proposed allocation announced on 18 September and due to be considered by the Combined Authority on 25 September. It is not yet an approved award. A separate £5 million plug-in solar pilot is awaiting approval from the Department for Energy Security and Net Zero.</w:t>
            </w:r>
          </w:p>
        </w:tc>
      </w:tr>
    </w:tbl>
    <w:p>
      <w:r>
        <w:rPr>
          <w:b w:val="0"/>
          <w:i w:val="0"/>
        </w:rPr>
        <w:t xml:space="preserve">Labour Mayor </w:t>
      </w:r>
      <w:r>
        <w:rPr>
          <w:b/>
          <w:i w:val="0"/>
        </w:rPr>
        <w:t>Steve Rotheram</w:t>
      </w:r>
      <w:r>
        <w:rPr>
          <w:b w:val="0"/>
          <w:i w:val="0"/>
        </w:rPr>
        <w:t xml:space="preserve"> announced plans for a </w:t>
      </w:r>
      <w:r>
        <w:rPr>
          <w:b/>
          <w:i w:val="0"/>
        </w:rPr>
        <w:t>£5.5 million Photovoltaic and Battery Fund</w:t>
      </w:r>
      <w:r>
        <w:rPr>
          <w:b w:val="0"/>
          <w:i w:val="0"/>
        </w:rPr>
        <w:t xml:space="preserve"> to support solar panels and battery storage in social housing, within a wider package of almost £30 million for retrofit. The authority says funding would be available until August 2027 and that more than 40 registered providers have expressed interest.</w:t>
      </w:r>
    </w:p>
    <w:p>
      <w:r>
        <w:rPr>
          <w:b w:val="0"/>
          <w:i w:val="0"/>
        </w:rPr>
        <w:t xml:space="preserve">The update also records </w:t>
      </w:r>
      <w:r>
        <w:rPr>
          <w:b/>
          <w:i w:val="0"/>
        </w:rPr>
        <w:t>£13.9 million</w:t>
      </w:r>
      <w:r>
        <w:rPr>
          <w:b w:val="0"/>
          <w:i w:val="0"/>
        </w:rPr>
        <w:t xml:space="preserve"> through the Warm Homes Social Housing Fund Integrated Settlement and </w:t>
      </w:r>
      <w:r>
        <w:rPr>
          <w:b/>
          <w:i w:val="0"/>
        </w:rPr>
        <w:t>£4.411 million</w:t>
      </w:r>
      <w:r>
        <w:rPr>
          <w:b w:val="0"/>
          <w:i w:val="0"/>
        </w:rPr>
        <w:t xml:space="preserve"> for registered providers in the Liverpool City Region consortium with homes outside the area. It cites local firms that secured contracts under earlier retrofit work; those references should not be treated as new awards from this proposed allocation.</w:t>
      </w:r>
    </w:p>
    <w:p>
      <w:hyperlink r:id="rId15">
        <w:r>
          <w:rPr>
            <w:color w:val="C8102E"/>
            <w:u w:val="single"/>
          </w:rPr>
          <w:t>Liverpool City Region Combined Authority announcement, 18 September 2026</w:t>
        </w:r>
      </w:hyperlink>
    </w:p>
    <w:p>
      <w:pPr>
        <w:spacing w:before="80"/>
      </w:pPr>
      <w:r>
        <w:rPr>
          <w:b/>
          <w:i w:val="0"/>
          <w:color w:val="C8102E"/>
        </w:rPr>
        <w:t>What this means for SMEs - analysis:</w:t>
      </w:r>
      <w:r>
        <w:rPr>
          <w:b w:val="0"/>
          <w:i w:val="0"/>
        </w:rPr>
        <w:t xml:space="preserve"> If approved, the programme could create demand for installers, electricians, assessors, energy specialists and supply-chain businesses. No open tender, grant application for individual SMEs or guaranteed SME share was announced in the cited update.</w:t>
      </w:r>
    </w:p>
    <w:p>
      <w:pPr>
        <w:spacing w:before="40"/>
        <w:ind w:left="202"/>
        <w:shd w:fill="F1F3F5"/>
      </w:pPr>
      <w:r>
        <w:rPr>
          <w:b/>
          <w:i w:val="0"/>
        </w:rPr>
        <w:t>Practical action:</w:t>
      </w:r>
      <w:r>
        <w:rPr>
          <w:b w:val="0"/>
          <w:i w:val="0"/>
        </w:rPr>
        <w:t xml:space="preserve"> Relevant local firms should monitor the Combined Authority's 25 September decision, registered-provider procurement and supplier engagement. SME4Labour should press for proportionate lots, clear pipeline information, skills pathways and prompt payment throughout the supply chain.</w:t>
      </w:r>
    </w:p>
    <w:p>
      <w:pPr>
        <w:pStyle w:val="Heading1"/>
        <w:pBdr>
          <w:bottom w:val="single" w:sz="6" w:space="3" w:color="D9DDE1"/>
        </w:pBdr>
      </w:pPr>
      <w:r>
        <w:rPr>
          <w:b w:val="0"/>
          <w:i w:val="0"/>
        </w:rPr>
        <w:t>5. £22.5 million to expand school enrichment in disadvantaged communities</w:t>
      </w:r>
    </w:p>
    <w:tbl>
      <w:tblPr>
        <w:tblW w:type="auto" w:w="0"/>
        <w:jc w:val="center"/>
        <w:tblLayout w:type="fixed"/>
        <w:tblLook w:firstColumn="1" w:firstRow="1" w:lastColumn="0" w:lastRow="0" w:noHBand="0" w:noVBand="1" w:val="04A0"/>
      </w:tblPr>
      <w:tblGrid>
        <w:gridCol w:w="10224"/>
      </w:tblGrid>
      <w:tr>
        <w:trPr>
          <w:cantSplit/>
        </w:trPr>
        <w:tc>
          <w:tcPr>
            <w:tcW w:type="dxa" w:w="10152"/>
            <w:shd w:fill="F9ECEF"/>
            <w:tcMar>
              <w:top w:w="90" w:type="dxa"/>
              <w:start w:w="125" w:type="dxa"/>
              <w:bottom w:w="90" w:type="dxa"/>
              <w:end w:w="125" w:type="dxa"/>
            </w:tcMar>
          </w:tcPr>
          <w:p>
            <w:pPr>
              <w:spacing w:after="0"/>
            </w:pPr>
            <w:r>
              <w:rPr>
                <w:b/>
                <w:i w:val="0"/>
                <w:sz w:val="18"/>
              </w:rPr>
              <w:t>Status: funding and delivery model announced on 18 September. More than 400 secondary schools are to receive tailored support through the Enrichment Expansion programme, delivered by the Youth Sport Trust and national partners. Local purchasing routes were not specified.</w:t>
            </w:r>
          </w:p>
        </w:tc>
      </w:tr>
    </w:tbl>
    <w:p>
      <w:r>
        <w:rPr>
          <w:b w:val="0"/>
          <w:i w:val="0"/>
        </w:rPr>
        <w:t xml:space="preserve">The Labour Government announced </w:t>
      </w:r>
      <w:r>
        <w:rPr>
          <w:b/>
          <w:i w:val="0"/>
        </w:rPr>
        <w:t>£22.5 million</w:t>
      </w:r>
      <w:r>
        <w:rPr>
          <w:b w:val="0"/>
          <w:i w:val="0"/>
        </w:rPr>
        <w:t xml:space="preserve"> to help schools offer more sport, music, engineering, debating, volunteering and outdoor-learning activities. Enrichment Co-ordinators will work with clusters of schools to identify gaps, develop plans and connect them with local partners.</w:t>
      </w:r>
    </w:p>
    <w:p>
      <w:hyperlink r:id="rId16">
        <w:r>
          <w:rPr>
            <w:color w:val="C8102E"/>
            <w:u w:val="single"/>
          </w:rPr>
          <w:t>Department for Education announcement, 18 September 2026</w:t>
        </w:r>
      </w:hyperlink>
    </w:p>
    <w:p>
      <w:pPr>
        <w:spacing w:before="80"/>
      </w:pPr>
      <w:r>
        <w:rPr>
          <w:b/>
          <w:i w:val="0"/>
          <w:color w:val="C8102E"/>
        </w:rPr>
        <w:t>What this means for SMEs - analysis:</w:t>
      </w:r>
      <w:r>
        <w:rPr>
          <w:b w:val="0"/>
          <w:i w:val="0"/>
        </w:rPr>
        <w:t xml:space="preserve"> The programme may create partnership and delivery opportunities for smaller sports, arts, music, engineering, outdoor-learning and training providers. The announcement does not establish an open national grant for individual businesses or confirm how much will reach local suppliers.</w:t>
      </w:r>
    </w:p>
    <w:p>
      <w:pPr>
        <w:spacing w:before="40"/>
        <w:ind w:left="202"/>
        <w:shd w:fill="F1F3F5"/>
      </w:pPr>
      <w:r>
        <w:rPr>
          <w:b/>
          <w:i w:val="0"/>
        </w:rPr>
        <w:t>Practical action:</w:t>
      </w:r>
      <w:r>
        <w:rPr>
          <w:b w:val="0"/>
          <w:i w:val="0"/>
        </w:rPr>
        <w:t xml:space="preserve"> Relevant providers should identify participating schools and local delivery partners as information becomes available, prepare safeguarding and delivery evidence, and avoid assuming that the £22.5 million is directly open for applications.</w:t>
      </w:r>
    </w:p>
    <w:p>
      <w:pPr>
        <w:pStyle w:val="Heading1"/>
        <w:pBdr>
          <w:bottom w:val="single" w:sz="6" w:space="3" w:color="D9DDE1"/>
        </w:pBdr>
      </w:pPr>
      <w:r>
        <w:rPr>
          <w:b w:val="0"/>
          <w:i w:val="0"/>
        </w:rPr>
        <w:t>6. Food regulator publishes growth goals and delivery progress</w:t>
      </w:r>
    </w:p>
    <w:tbl>
      <w:tblPr>
        <w:tblW w:type="auto" w:w="0"/>
        <w:jc w:val="center"/>
        <w:tblLayout w:type="fixed"/>
        <w:tblLook w:firstColumn="1" w:firstRow="1" w:lastColumn="0" w:lastRow="0" w:noHBand="0" w:noVBand="1" w:val="04A0"/>
      </w:tblPr>
      <w:tblGrid>
        <w:gridCol w:w="10224"/>
      </w:tblGrid>
      <w:tr>
        <w:trPr>
          <w:cantSplit/>
        </w:trPr>
        <w:tc>
          <w:tcPr>
            <w:tcW w:type="dxa" w:w="10152"/>
            <w:shd w:fill="F9ECEF"/>
            <w:tcMar>
              <w:top w:w="90" w:type="dxa"/>
              <w:start w:w="125" w:type="dxa"/>
              <w:bottom w:w="90" w:type="dxa"/>
              <w:end w:w="125" w:type="dxa"/>
            </w:tcMar>
          </w:tcPr>
          <w:p>
            <w:pPr>
              <w:spacing w:after="0"/>
            </w:pPr>
            <w:r>
              <w:rPr>
                <w:b/>
                <w:i w:val="0"/>
                <w:sz w:val="18"/>
              </w:rPr>
              <w:t>Status: regulatory progress report published on 18 September. Most measures are preparatory or pilots; they do not yet remove a specific requirement for SMEs.</w:t>
            </w:r>
          </w:p>
        </w:tc>
      </w:tr>
    </w:tbl>
    <w:p>
      <w:r>
        <w:rPr>
          <w:b w:val="0"/>
          <w:i w:val="0"/>
        </w:rPr>
        <w:t>The Food Standards Agency reported progress against growth goals covering preparation for a UK-EU sanitary and phytosanitary agreement, a future national approach to regulation for large food businesses, a regulatory sandbox for cell-cultivated products, and live pilots using AI-enabled tools in official controls and incident management.</w:t>
      </w:r>
    </w:p>
    <w:p>
      <w:r>
        <w:rPr>
          <w:b w:val="0"/>
          <w:i w:val="0"/>
        </w:rPr>
        <w:t>The FSA aims to make the operational and policy changes needed for dynamic alignment by mid-2027 if the SPS agreement proceeds. It also says the cell-cultivated-products sandbox is at an advanced stage, with most outputs published or nearing publication and a Business Support Service engaging current and prospective applicants.</w:t>
      </w:r>
    </w:p>
    <w:p>
      <w:hyperlink r:id="rId17">
        <w:r>
          <w:rPr>
            <w:color w:val="C8102E"/>
            <w:u w:val="single"/>
          </w:rPr>
          <w:t>Food Standards Agency progress report, updated 18 September 2026</w:t>
        </w:r>
      </w:hyperlink>
    </w:p>
    <w:p>
      <w:pPr>
        <w:spacing w:before="80"/>
      </w:pPr>
      <w:r>
        <w:rPr>
          <w:b/>
          <w:i w:val="0"/>
          <w:color w:val="C8102E"/>
        </w:rPr>
        <w:t>What this means for SMEs - analysis:</w:t>
      </w:r>
      <w:r>
        <w:rPr>
          <w:b w:val="0"/>
          <w:i w:val="0"/>
        </w:rPr>
        <w:t xml:space="preserve"> Clearer, more consistent regulation could lower friction for food exporters and innovative food businesses. However, the SPS work depends on negotiations and later implementation, while the future regulatory model remains under development. The Government estimate that an SPS agreement could add up to £5.1 billion a year to the economy is a modelled potential benefit, not current SME income.</w:t>
      </w:r>
    </w:p>
    <w:p>
      <w:pPr>
        <w:spacing w:before="40"/>
        <w:ind w:left="202"/>
        <w:shd w:fill="F1F3F5"/>
      </w:pPr>
      <w:r>
        <w:rPr>
          <w:b/>
          <w:i w:val="0"/>
        </w:rPr>
        <w:t>Practical action:</w:t>
      </w:r>
      <w:r>
        <w:rPr>
          <w:b w:val="0"/>
          <w:i w:val="0"/>
        </w:rPr>
        <w:t xml:space="preserve"> Food exporters should follow business-readiness updates and record current border costs and delays. Innovative food businesses should use the FSA's support routes early and check the evidence required before committing investment.</w:t>
      </w:r>
    </w:p>
    <w:p>
      <w:pPr>
        <w:pStyle w:val="Heading1"/>
        <w:pBdr>
          <w:bottom w:val="single" w:sz="6" w:space="3" w:color="D9DDE1"/>
        </w:pBdr>
      </w:pPr>
      <w:r>
        <w:rPr>
          <w:b w:val="0"/>
          <w:i w:val="0"/>
        </w:rPr>
        <w:t>Key dates and actions</w:t>
      </w:r>
    </w:p>
    <w:p>
      <w:r>
        <w:rPr>
          <w:b w:val="0"/>
          <w:i w:val="0"/>
        </w:rPr>
        <w:t>The following includes current deadlines from earlier announcements. They are practical reminders, not all new developments from this reporting week.</w:t>
      </w:r>
    </w:p>
    <w:tbl>
      <w:tblPr>
        <w:tblW w:type="auto" w:w="0"/>
        <w:jc w:val="center"/>
        <w:tblLayout w:type="fixed"/>
        <w:tblLook w:firstColumn="1" w:firstRow="1" w:lastColumn="0" w:lastRow="0" w:noHBand="0" w:noVBand="1" w:val="04A0"/>
        <w:tblBorders>
          <w:top w:val="single" w:sz="6" w:color="D5D9DE"/>
          <w:left w:val="single" w:sz="6" w:color="D5D9DE"/>
          <w:bottom w:val="single" w:sz="6" w:color="D5D9DE"/>
          <w:right w:val="single" w:sz="6" w:color="D5D9DE"/>
          <w:insideH w:val="single" w:sz="6" w:color="D5D9DE"/>
          <w:insideV w:val="single" w:sz="6" w:color="D5D9DE"/>
        </w:tblBorders>
      </w:tblPr>
      <w:tblGrid>
        <w:gridCol w:w="3408"/>
        <w:gridCol w:w="3408"/>
        <w:gridCol w:w="3408"/>
      </w:tblGrid>
      <w:tr>
        <w:trPr>
          <w:tblHeader w:val="true"/>
          <w:cantSplit/>
        </w:trPr>
        <w:tc>
          <w:tcPr>
            <w:tcW w:type="dxa" w:w="1944"/>
            <w:tcMar>
              <w:top w:w="80" w:type="dxa"/>
              <w:start w:w="85" w:type="dxa"/>
              <w:bottom w:w="80" w:type="dxa"/>
              <w:end w:w="85" w:type="dxa"/>
            </w:tcMar>
            <w:vAlign w:val="center"/>
            <w:shd w:fill="1F2D3D"/>
          </w:tcPr>
          <w:p>
            <w:pPr>
              <w:spacing w:after="0" w:line="240" w:lineRule="auto"/>
            </w:pPr>
            <w:r>
              <w:rPr>
                <w:rFonts w:ascii="Aptos" w:hAnsi="Aptos"/>
                <w:b/>
                <w:i w:val="0"/>
                <w:color w:val="FFFFFF"/>
                <w:sz w:val="17"/>
              </w:rPr>
              <w:t>Date</w:t>
            </w:r>
          </w:p>
        </w:tc>
        <w:tc>
          <w:tcPr>
            <w:tcW w:type="dxa" w:w="3484"/>
            <w:tcMar>
              <w:top w:w="80" w:type="dxa"/>
              <w:start w:w="85" w:type="dxa"/>
              <w:bottom w:w="80" w:type="dxa"/>
              <w:end w:w="85" w:type="dxa"/>
            </w:tcMar>
            <w:vAlign w:val="center"/>
            <w:shd w:fill="1F2D3D"/>
          </w:tcPr>
          <w:p>
            <w:pPr>
              <w:spacing w:after="0" w:line="240" w:lineRule="auto"/>
            </w:pPr>
            <w:r>
              <w:rPr>
                <w:rFonts w:ascii="Aptos" w:hAnsi="Aptos"/>
                <w:b/>
                <w:i w:val="0"/>
                <w:color w:val="FFFFFF"/>
                <w:sz w:val="17"/>
              </w:rPr>
              <w:t>Action</w:t>
            </w:r>
          </w:p>
        </w:tc>
        <w:tc>
          <w:tcPr>
            <w:tcW w:type="dxa" w:w="4723"/>
            <w:tcMar>
              <w:top w:w="80" w:type="dxa"/>
              <w:start w:w="85" w:type="dxa"/>
              <w:bottom w:w="80" w:type="dxa"/>
              <w:end w:w="85" w:type="dxa"/>
            </w:tcMar>
            <w:vAlign w:val="center"/>
            <w:shd w:fill="1F2D3D"/>
          </w:tcPr>
          <w:p>
            <w:pPr>
              <w:spacing w:after="0" w:line="240" w:lineRule="auto"/>
            </w:pPr>
            <w:r>
              <w:rPr>
                <w:rFonts w:ascii="Aptos" w:hAnsi="Aptos"/>
                <w:b/>
                <w:i w:val="0"/>
                <w:color w:val="FFFFFF"/>
                <w:sz w:val="17"/>
              </w:rPr>
              <w:t>Why it matters</w:t>
            </w:r>
          </w:p>
        </w:tc>
      </w:tr>
      <w:tr>
        <w:trPr>
          <w:cantSplit/>
        </w:trPr>
        <w:tc>
          <w:tcPr>
            <w:tcW w:type="dxa" w:w="1944"/>
            <w:tcMar>
              <w:top w:w="80" w:type="dxa"/>
              <w:start w:w="85" w:type="dxa"/>
              <w:bottom w:w="80" w:type="dxa"/>
              <w:end w:w="85" w:type="dxa"/>
            </w:tcMar>
            <w:vAlign w:val="center"/>
            <w:shd w:fill="FFFFFF"/>
          </w:tcPr>
          <w:p>
            <w:pPr>
              <w:spacing w:after="0" w:line="240" w:lineRule="auto"/>
            </w:pPr>
            <w:r>
              <w:rPr>
                <w:rFonts w:ascii="Aptos" w:hAnsi="Aptos"/>
                <w:b/>
                <w:i w:val="0"/>
                <w:sz w:val="16"/>
              </w:rPr>
              <w:t>22 September 2026</w:t>
            </w:r>
          </w:p>
        </w:tc>
        <w:tc>
          <w:tcPr>
            <w:tcW w:type="dxa" w:w="3484"/>
            <w:tcMar>
              <w:top w:w="80" w:type="dxa"/>
              <w:start w:w="85" w:type="dxa"/>
              <w:bottom w:w="80" w:type="dxa"/>
              <w:end w:w="85" w:type="dxa"/>
            </w:tcMar>
            <w:vAlign w:val="center"/>
            <w:shd w:fill="FFFFFF"/>
          </w:tcPr>
          <w:p>
            <w:pPr>
              <w:spacing w:after="0" w:line="240" w:lineRule="auto"/>
            </w:pPr>
            <w:hyperlink r:id="rId18">
              <w:r>
                <w:rPr>
                  <w:color w:val="C8102E"/>
                  <w:u w:val="single"/>
                </w:rPr>
                <w:t>Holiday pay compliance and enforcement consultation</w:t>
              </w:r>
            </w:hyperlink>
          </w:p>
        </w:tc>
        <w:tc>
          <w:tcPr>
            <w:tcW w:type="dxa" w:w="4723"/>
            <w:tcMar>
              <w:top w:w="80" w:type="dxa"/>
              <w:start w:w="85" w:type="dxa"/>
              <w:bottom w:w="80" w:type="dxa"/>
              <w:end w:w="85" w:type="dxa"/>
            </w:tcMar>
            <w:vAlign w:val="center"/>
            <w:shd w:fill="FFFFFF"/>
          </w:tcPr>
          <w:p>
            <w:pPr>
              <w:spacing w:after="0" w:line="240" w:lineRule="auto"/>
            </w:pPr>
            <w:r>
              <w:rPr>
                <w:rFonts w:ascii="Aptos" w:hAnsi="Aptos"/>
                <w:b w:val="0"/>
                <w:i w:val="0"/>
                <w:sz w:val="16"/>
              </w:rPr>
              <w:t>Final opportunity for employers to comment on proportionate enforcement and guidance.</w:t>
            </w:r>
          </w:p>
        </w:tc>
      </w:tr>
      <w:tr>
        <w:trPr>
          <w:cantSplit/>
        </w:trPr>
        <w:tc>
          <w:tcPr>
            <w:tcW w:type="dxa" w:w="1944"/>
            <w:tcMar>
              <w:top w:w="80" w:type="dxa"/>
              <w:start w:w="85" w:type="dxa"/>
              <w:bottom w:w="80" w:type="dxa"/>
              <w:end w:w="85" w:type="dxa"/>
            </w:tcMar>
            <w:vAlign w:val="center"/>
            <w:shd w:fill="F7F8F9"/>
          </w:tcPr>
          <w:p>
            <w:pPr>
              <w:spacing w:after="0" w:line="240" w:lineRule="auto"/>
            </w:pPr>
            <w:r>
              <w:rPr>
                <w:rFonts w:ascii="Aptos" w:hAnsi="Aptos"/>
                <w:b/>
                <w:i w:val="0"/>
                <w:sz w:val="16"/>
              </w:rPr>
              <w:t>23 September 2026, 12 noon BST</w:t>
            </w:r>
          </w:p>
        </w:tc>
        <w:tc>
          <w:tcPr>
            <w:tcW w:type="dxa" w:w="3484"/>
            <w:tcMar>
              <w:top w:w="80" w:type="dxa"/>
              <w:start w:w="85" w:type="dxa"/>
              <w:bottom w:w="80" w:type="dxa"/>
              <w:end w:w="85" w:type="dxa"/>
            </w:tcMar>
            <w:vAlign w:val="center"/>
            <w:shd w:fill="F7F8F9"/>
          </w:tcPr>
          <w:p>
            <w:pPr>
              <w:spacing w:after="0" w:line="240" w:lineRule="auto"/>
            </w:pPr>
            <w:hyperlink r:id="rId19">
              <w:r>
                <w:rPr>
                  <w:color w:val="C8102E"/>
                  <w:u w:val="single"/>
                </w:rPr>
                <w:t>Project PANOPTES Stage 1</w:t>
              </w:r>
            </w:hyperlink>
          </w:p>
        </w:tc>
        <w:tc>
          <w:tcPr>
            <w:tcW w:type="dxa" w:w="4723"/>
            <w:tcMar>
              <w:top w:w="80" w:type="dxa"/>
              <w:start w:w="85" w:type="dxa"/>
              <w:bottom w:w="80" w:type="dxa"/>
              <w:end w:w="85" w:type="dxa"/>
            </w:tcMar>
            <w:vAlign w:val="center"/>
            <w:shd w:fill="F7F8F9"/>
          </w:tcPr>
          <w:p>
            <w:pPr>
              <w:spacing w:after="0" w:line="240" w:lineRule="auto"/>
            </w:pPr>
            <w:r>
              <w:rPr>
                <w:rFonts w:ascii="Aptos" w:hAnsi="Aptos"/>
                <w:b w:val="0"/>
                <w:i w:val="0"/>
                <w:sz w:val="16"/>
              </w:rPr>
              <w:t>UK Defence Innovation offers a share of up to £5 million; the competition document was clarified on 18 September.</w:t>
            </w:r>
          </w:p>
        </w:tc>
      </w:tr>
      <w:tr>
        <w:trPr>
          <w:cantSplit/>
        </w:trPr>
        <w:tc>
          <w:tcPr>
            <w:tcW w:type="dxa" w:w="1944"/>
            <w:tcMar>
              <w:top w:w="80" w:type="dxa"/>
              <w:start w:w="85" w:type="dxa"/>
              <w:bottom w:w="80" w:type="dxa"/>
              <w:end w:w="85" w:type="dxa"/>
            </w:tcMar>
            <w:vAlign w:val="center"/>
            <w:shd w:fill="FFFFFF"/>
          </w:tcPr>
          <w:p>
            <w:pPr>
              <w:spacing w:after="0" w:line="240" w:lineRule="auto"/>
            </w:pPr>
            <w:r>
              <w:rPr>
                <w:rFonts w:ascii="Aptos" w:hAnsi="Aptos"/>
                <w:b/>
                <w:i w:val="0"/>
                <w:sz w:val="16"/>
              </w:rPr>
              <w:t>23 September 2026</w:t>
            </w:r>
          </w:p>
        </w:tc>
        <w:tc>
          <w:tcPr>
            <w:tcW w:type="dxa" w:w="3484"/>
            <w:tcMar>
              <w:top w:w="80" w:type="dxa"/>
              <w:start w:w="85" w:type="dxa"/>
              <w:bottom w:w="80" w:type="dxa"/>
              <w:end w:w="85" w:type="dxa"/>
            </w:tcMar>
            <w:vAlign w:val="center"/>
            <w:shd w:fill="FFFFFF"/>
          </w:tcPr>
          <w:p>
            <w:pPr>
              <w:spacing w:after="0" w:line="240" w:lineRule="auto"/>
            </w:pPr>
            <w:hyperlink r:id="rId18">
              <w:r>
                <w:rPr>
                  <w:color w:val="C8102E"/>
                  <w:u w:val="single"/>
                </w:rPr>
                <w:t>Acas disciplinary and grievance Code consultation</w:t>
              </w:r>
            </w:hyperlink>
          </w:p>
        </w:tc>
        <w:tc>
          <w:tcPr>
            <w:tcW w:type="dxa" w:w="4723"/>
            <w:tcMar>
              <w:top w:w="80" w:type="dxa"/>
              <w:start w:w="85" w:type="dxa"/>
              <w:bottom w:w="80" w:type="dxa"/>
              <w:end w:w="85" w:type="dxa"/>
            </w:tcMar>
            <w:vAlign w:val="center"/>
            <w:shd w:fill="FFFFFF"/>
          </w:tcPr>
          <w:p>
            <w:pPr>
              <w:spacing w:after="0" w:line="240" w:lineRule="auto"/>
            </w:pPr>
            <w:r>
              <w:rPr>
                <w:rFonts w:ascii="Aptos" w:hAnsi="Aptos"/>
                <w:b w:val="0"/>
                <w:i w:val="0"/>
                <w:sz w:val="16"/>
              </w:rPr>
              <w:t>Employers can help shape revised workplace guidance.</w:t>
            </w:r>
          </w:p>
        </w:tc>
      </w:tr>
      <w:tr>
        <w:trPr>
          <w:cantSplit/>
        </w:trPr>
        <w:tc>
          <w:tcPr>
            <w:tcW w:type="dxa" w:w="1944"/>
            <w:tcMar>
              <w:top w:w="80" w:type="dxa"/>
              <w:start w:w="85" w:type="dxa"/>
              <w:bottom w:w="80" w:type="dxa"/>
              <w:end w:w="85" w:type="dxa"/>
            </w:tcMar>
            <w:vAlign w:val="center"/>
            <w:shd w:fill="F7F8F9"/>
          </w:tcPr>
          <w:p>
            <w:pPr>
              <w:spacing w:after="0" w:line="240" w:lineRule="auto"/>
            </w:pPr>
            <w:r>
              <w:rPr>
                <w:rFonts w:ascii="Aptos" w:hAnsi="Aptos"/>
                <w:b/>
                <w:i w:val="0"/>
                <w:sz w:val="16"/>
              </w:rPr>
              <w:t>25 September 2026</w:t>
            </w:r>
          </w:p>
        </w:tc>
        <w:tc>
          <w:tcPr>
            <w:tcW w:type="dxa" w:w="3484"/>
            <w:tcMar>
              <w:top w:w="80" w:type="dxa"/>
              <w:start w:w="85" w:type="dxa"/>
              <w:bottom w:w="80" w:type="dxa"/>
              <w:end w:w="85" w:type="dxa"/>
            </w:tcMar>
            <w:vAlign w:val="center"/>
            <w:shd w:fill="F7F8F9"/>
          </w:tcPr>
          <w:p>
            <w:pPr>
              <w:spacing w:after="0" w:line="240" w:lineRule="auto"/>
            </w:pPr>
            <w:r>
              <w:rPr>
                <w:rFonts w:ascii="Aptos" w:hAnsi="Aptos"/>
                <w:b w:val="0"/>
                <w:i w:val="0"/>
                <w:sz w:val="16"/>
              </w:rPr>
              <w:t>Liverpool City Region Combined Authority consideration of the proposed solar and battery allocation</w:t>
            </w:r>
          </w:p>
        </w:tc>
        <w:tc>
          <w:tcPr>
            <w:tcW w:type="dxa" w:w="4723"/>
            <w:tcMar>
              <w:top w:w="80" w:type="dxa"/>
              <w:start w:w="85" w:type="dxa"/>
              <w:bottom w:w="80" w:type="dxa"/>
              <w:end w:w="85" w:type="dxa"/>
            </w:tcMar>
            <w:vAlign w:val="center"/>
            <w:shd w:fill="F7F8F9"/>
          </w:tcPr>
          <w:p>
            <w:pPr>
              <w:spacing w:after="0" w:line="240" w:lineRule="auto"/>
            </w:pPr>
            <w:r>
              <w:rPr>
                <w:rFonts w:ascii="Aptos" w:hAnsi="Aptos"/>
                <w:b w:val="0"/>
                <w:i w:val="0"/>
                <w:sz w:val="16"/>
              </w:rPr>
              <w:t>Suppliers should check the decision before treating the £5.5 million as approved.</w:t>
            </w:r>
          </w:p>
        </w:tc>
      </w:tr>
      <w:tr>
        <w:trPr>
          <w:cantSplit/>
        </w:trPr>
        <w:tc>
          <w:tcPr>
            <w:tcW w:type="dxa" w:w="1944"/>
            <w:tcMar>
              <w:top w:w="80" w:type="dxa"/>
              <w:start w:w="85" w:type="dxa"/>
              <w:bottom w:w="80" w:type="dxa"/>
              <w:end w:w="85" w:type="dxa"/>
            </w:tcMar>
            <w:vAlign w:val="center"/>
            <w:shd w:fill="FFFFFF"/>
          </w:tcPr>
          <w:p>
            <w:pPr>
              <w:spacing w:after="0" w:line="240" w:lineRule="auto"/>
            </w:pPr>
            <w:r>
              <w:rPr>
                <w:rFonts w:ascii="Aptos" w:hAnsi="Aptos"/>
                <w:b/>
                <w:i w:val="0"/>
                <w:sz w:val="16"/>
              </w:rPr>
              <w:t>End of September 2026 - exact date not stated</w:t>
            </w:r>
          </w:p>
        </w:tc>
        <w:tc>
          <w:tcPr>
            <w:tcW w:type="dxa" w:w="3484"/>
            <w:tcMar>
              <w:top w:w="80" w:type="dxa"/>
              <w:start w:w="85" w:type="dxa"/>
              <w:bottom w:w="80" w:type="dxa"/>
              <w:end w:w="85" w:type="dxa"/>
            </w:tcMar>
            <w:vAlign w:val="center"/>
            <w:shd w:fill="FFFFFF"/>
          </w:tcPr>
          <w:p>
            <w:pPr>
              <w:spacing w:after="0" w:line="240" w:lineRule="auto"/>
            </w:pPr>
            <w:hyperlink r:id="rId20">
              <w:r>
                <w:rPr>
                  <w:color w:val="C8102E"/>
                  <w:u w:val="single"/>
                </w:rPr>
                <w:t>Hospitality Grant Scheme application portal</w:t>
              </w:r>
            </w:hyperlink>
          </w:p>
        </w:tc>
        <w:tc>
          <w:tcPr>
            <w:tcW w:type="dxa" w:w="4723"/>
            <w:tcMar>
              <w:top w:w="80" w:type="dxa"/>
              <w:start w:w="85" w:type="dxa"/>
              <w:bottom w:w="80" w:type="dxa"/>
              <w:end w:w="85" w:type="dxa"/>
            </w:tcMar>
            <w:vAlign w:val="center"/>
            <w:shd w:fill="FFFFFF"/>
          </w:tcPr>
          <w:p>
            <w:pPr>
              <w:spacing w:after="0" w:line="240" w:lineRule="auto"/>
            </w:pPr>
            <w:r>
              <w:rPr>
                <w:rFonts w:ascii="Aptos" w:hAnsi="Aptos"/>
                <w:b w:val="0"/>
                <w:i w:val="0"/>
                <w:sz w:val="16"/>
              </w:rPr>
              <w:t>The release says applications will be received from the end of September but gives no precise opening or closing date; businesses should check the linked portal.</w:t>
            </w:r>
          </w:p>
        </w:tc>
      </w:tr>
      <w:tr>
        <w:trPr>
          <w:cantSplit/>
        </w:trPr>
        <w:tc>
          <w:tcPr>
            <w:tcW w:type="dxa" w:w="1944"/>
            <w:tcMar>
              <w:top w:w="80" w:type="dxa"/>
              <w:start w:w="85" w:type="dxa"/>
              <w:bottom w:w="80" w:type="dxa"/>
              <w:end w:w="85" w:type="dxa"/>
            </w:tcMar>
            <w:vAlign w:val="center"/>
            <w:shd w:fill="F7F8F9"/>
          </w:tcPr>
          <w:p>
            <w:pPr>
              <w:spacing w:after="0" w:line="240" w:lineRule="auto"/>
            </w:pPr>
            <w:r>
              <w:rPr>
                <w:rFonts w:ascii="Aptos" w:hAnsi="Aptos"/>
                <w:b/>
                <w:i w:val="0"/>
                <w:sz w:val="16"/>
              </w:rPr>
              <w:t>29 September 2026</w:t>
            </w:r>
          </w:p>
        </w:tc>
        <w:tc>
          <w:tcPr>
            <w:tcW w:type="dxa" w:w="3484"/>
            <w:tcMar>
              <w:top w:w="80" w:type="dxa"/>
              <w:start w:w="85" w:type="dxa"/>
              <w:bottom w:w="80" w:type="dxa"/>
              <w:end w:w="85" w:type="dxa"/>
            </w:tcMar>
            <w:vAlign w:val="center"/>
            <w:shd w:fill="F7F8F9"/>
          </w:tcPr>
          <w:p>
            <w:pPr>
              <w:spacing w:after="0" w:line="240" w:lineRule="auto"/>
            </w:pPr>
            <w:hyperlink r:id="rId18">
              <w:r>
                <w:rPr>
                  <w:color w:val="C8102E"/>
                  <w:u w:val="single"/>
                </w:rPr>
                <w:t>Revised tipping code consultation</w:t>
              </w:r>
            </w:hyperlink>
          </w:p>
        </w:tc>
        <w:tc>
          <w:tcPr>
            <w:tcW w:type="dxa" w:w="4723"/>
            <w:tcMar>
              <w:top w:w="80" w:type="dxa"/>
              <w:start w:w="85" w:type="dxa"/>
              <w:bottom w:w="80" w:type="dxa"/>
              <w:end w:w="85" w:type="dxa"/>
            </w:tcMar>
            <w:vAlign w:val="center"/>
            <w:shd w:fill="F7F8F9"/>
          </w:tcPr>
          <w:p>
            <w:pPr>
              <w:spacing w:after="0" w:line="240" w:lineRule="auto"/>
            </w:pPr>
            <w:r>
              <w:rPr>
                <w:rFonts w:ascii="Aptos" w:hAnsi="Aptos"/>
                <w:b w:val="0"/>
                <w:i w:val="0"/>
                <w:sz w:val="16"/>
              </w:rPr>
              <w:t>Hospitality businesses and workers can comment on practical implementation.</w:t>
            </w:r>
          </w:p>
        </w:tc>
      </w:tr>
      <w:tr>
        <w:trPr>
          <w:cantSplit/>
        </w:trPr>
        <w:tc>
          <w:tcPr>
            <w:tcW w:type="dxa" w:w="1944"/>
            <w:tcMar>
              <w:top w:w="80" w:type="dxa"/>
              <w:start w:w="85" w:type="dxa"/>
              <w:bottom w:w="80" w:type="dxa"/>
              <w:end w:w="85" w:type="dxa"/>
            </w:tcMar>
            <w:vAlign w:val="center"/>
            <w:shd w:fill="FFFFFF"/>
          </w:tcPr>
          <w:p>
            <w:pPr>
              <w:spacing w:after="0" w:line="240" w:lineRule="auto"/>
            </w:pPr>
            <w:r>
              <w:rPr>
                <w:rFonts w:ascii="Aptos" w:hAnsi="Aptos"/>
                <w:b/>
                <w:i w:val="0"/>
                <w:sz w:val="16"/>
              </w:rPr>
              <w:t>30 September 2026</w:t>
            </w:r>
          </w:p>
        </w:tc>
        <w:tc>
          <w:tcPr>
            <w:tcW w:type="dxa" w:w="3484"/>
            <w:tcMar>
              <w:top w:w="80" w:type="dxa"/>
              <w:start w:w="85" w:type="dxa"/>
              <w:bottom w:w="80" w:type="dxa"/>
              <w:end w:w="85" w:type="dxa"/>
            </w:tcMar>
            <w:vAlign w:val="center"/>
            <w:shd w:fill="FFFFFF"/>
          </w:tcPr>
          <w:p>
            <w:pPr>
              <w:spacing w:after="0" w:line="240" w:lineRule="auto"/>
            </w:pPr>
            <w:hyperlink r:id="rId18">
              <w:r>
                <w:rPr>
                  <w:color w:val="C8102E"/>
                  <w:u w:val="single"/>
                </w:rPr>
                <w:t>Workplace monitoring technologies consultation</w:t>
              </w:r>
            </w:hyperlink>
          </w:p>
        </w:tc>
        <w:tc>
          <w:tcPr>
            <w:tcW w:type="dxa" w:w="4723"/>
            <w:tcMar>
              <w:top w:w="80" w:type="dxa"/>
              <w:start w:w="85" w:type="dxa"/>
              <w:bottom w:w="80" w:type="dxa"/>
              <w:end w:w="85" w:type="dxa"/>
            </w:tcMar>
            <w:vAlign w:val="center"/>
            <w:shd w:fill="FFFFFF"/>
          </w:tcPr>
          <w:p>
            <w:pPr>
              <w:spacing w:after="0" w:line="240" w:lineRule="auto"/>
            </w:pPr>
            <w:r>
              <w:rPr>
                <w:rFonts w:ascii="Aptos" w:hAnsi="Aptos"/>
                <w:b w:val="0"/>
                <w:i w:val="0"/>
                <w:sz w:val="16"/>
              </w:rPr>
              <w:t>Relevant to employers using monitoring or algorithmic-management tools.</w:t>
            </w:r>
          </w:p>
        </w:tc>
      </w:tr>
      <w:tr>
        <w:trPr>
          <w:cantSplit/>
        </w:trPr>
        <w:tc>
          <w:tcPr>
            <w:tcW w:type="dxa" w:w="1944"/>
            <w:tcMar>
              <w:top w:w="80" w:type="dxa"/>
              <w:start w:w="85" w:type="dxa"/>
              <w:bottom w:w="80" w:type="dxa"/>
              <w:end w:w="85" w:type="dxa"/>
            </w:tcMar>
            <w:vAlign w:val="center"/>
            <w:shd w:fill="F7F8F9"/>
          </w:tcPr>
          <w:p>
            <w:pPr>
              <w:spacing w:after="0" w:line="240" w:lineRule="auto"/>
            </w:pPr>
            <w:r>
              <w:rPr>
                <w:rFonts w:ascii="Aptos" w:hAnsi="Aptos"/>
                <w:b/>
                <w:i w:val="0"/>
                <w:sz w:val="16"/>
              </w:rPr>
              <w:t>5 October 2026</w:t>
            </w:r>
          </w:p>
        </w:tc>
        <w:tc>
          <w:tcPr>
            <w:tcW w:type="dxa" w:w="3484"/>
            <w:tcMar>
              <w:top w:w="80" w:type="dxa"/>
              <w:start w:w="85" w:type="dxa"/>
              <w:bottom w:w="80" w:type="dxa"/>
              <w:end w:w="85" w:type="dxa"/>
            </w:tcMar>
            <w:vAlign w:val="center"/>
            <w:shd w:fill="F7F8F9"/>
          </w:tcPr>
          <w:p>
            <w:pPr>
              <w:spacing w:after="0" w:line="240" w:lineRule="auto"/>
            </w:pPr>
            <w:hyperlink r:id="rId21">
              <w:r>
                <w:rPr>
                  <w:color w:val="C8102E"/>
                  <w:u w:val="single"/>
                </w:rPr>
                <w:t>Register for Self Assessment</w:t>
              </w:r>
            </w:hyperlink>
          </w:p>
        </w:tc>
        <w:tc>
          <w:tcPr>
            <w:tcW w:type="dxa" w:w="4723"/>
            <w:tcMar>
              <w:top w:w="80" w:type="dxa"/>
              <w:start w:w="85" w:type="dxa"/>
              <w:bottom w:w="80" w:type="dxa"/>
              <w:end w:w="85" w:type="dxa"/>
            </w:tcMar>
            <w:vAlign w:val="center"/>
            <w:shd w:fill="F7F8F9"/>
          </w:tcPr>
          <w:p>
            <w:pPr>
              <w:spacing w:after="0" w:line="240" w:lineRule="auto"/>
            </w:pPr>
            <w:r>
              <w:rPr>
                <w:rFonts w:ascii="Aptos" w:hAnsi="Aptos"/>
                <w:b w:val="0"/>
                <w:i w:val="0"/>
                <w:sz w:val="16"/>
              </w:rPr>
              <w:t>Normal notification deadline for people who need to file for 2025-26 and are not already registered.</w:t>
            </w:r>
          </w:p>
        </w:tc>
      </w:tr>
      <w:tr>
        <w:trPr>
          <w:cantSplit/>
        </w:trPr>
        <w:tc>
          <w:tcPr>
            <w:tcW w:type="dxa" w:w="1944"/>
            <w:tcMar>
              <w:top w:w="80" w:type="dxa"/>
              <w:start w:w="85" w:type="dxa"/>
              <w:bottom w:w="80" w:type="dxa"/>
              <w:end w:w="85" w:type="dxa"/>
            </w:tcMar>
            <w:vAlign w:val="center"/>
            <w:shd w:fill="FFFFFF"/>
          </w:tcPr>
          <w:p>
            <w:pPr>
              <w:spacing w:after="0" w:line="240" w:lineRule="auto"/>
            </w:pPr>
            <w:r>
              <w:rPr>
                <w:rFonts w:ascii="Aptos" w:hAnsi="Aptos"/>
                <w:b/>
                <w:i w:val="0"/>
                <w:sz w:val="16"/>
              </w:rPr>
              <w:t>5 October 2026</w:t>
            </w:r>
          </w:p>
        </w:tc>
        <w:tc>
          <w:tcPr>
            <w:tcW w:type="dxa" w:w="3484"/>
            <w:tcMar>
              <w:top w:w="80" w:type="dxa"/>
              <w:start w:w="85" w:type="dxa"/>
              <w:bottom w:w="80" w:type="dxa"/>
              <w:end w:w="85" w:type="dxa"/>
            </w:tcMar>
            <w:vAlign w:val="center"/>
            <w:shd w:fill="FFFFFF"/>
          </w:tcPr>
          <w:p>
            <w:pPr>
              <w:spacing w:after="0" w:line="240" w:lineRule="auto"/>
            </w:pPr>
            <w:hyperlink r:id="rId22">
              <w:r>
                <w:rPr>
                  <w:color w:val="C8102E"/>
                  <w:u w:val="single"/>
                </w:rPr>
                <w:t>Lower DBS fees take effect</w:t>
              </w:r>
            </w:hyperlink>
          </w:p>
        </w:tc>
        <w:tc>
          <w:tcPr>
            <w:tcW w:type="dxa" w:w="4723"/>
            <w:tcMar>
              <w:top w:w="80" w:type="dxa"/>
              <w:start w:w="85" w:type="dxa"/>
              <w:bottom w:w="80" w:type="dxa"/>
              <w:end w:w="85" w:type="dxa"/>
            </w:tcMar>
            <w:vAlign w:val="center"/>
            <w:shd w:fill="FFFFFF"/>
          </w:tcPr>
          <w:p>
            <w:pPr>
              <w:spacing w:after="0" w:line="240" w:lineRule="auto"/>
            </w:pPr>
            <w:r>
              <w:rPr>
                <w:rFonts w:ascii="Aptos" w:hAnsi="Aptos"/>
                <w:b w:val="0"/>
                <w:i w:val="0"/>
                <w:sz w:val="16"/>
              </w:rPr>
              <w:t>Employers and checking bodies should update systems and applicant information.</w:t>
            </w:r>
          </w:p>
        </w:tc>
      </w:tr>
      <w:tr>
        <w:trPr>
          <w:cantSplit/>
        </w:trPr>
        <w:tc>
          <w:tcPr>
            <w:tcW w:type="dxa" w:w="1944"/>
            <w:tcMar>
              <w:top w:w="80" w:type="dxa"/>
              <w:start w:w="85" w:type="dxa"/>
              <w:bottom w:w="80" w:type="dxa"/>
              <w:end w:w="85" w:type="dxa"/>
            </w:tcMar>
            <w:vAlign w:val="center"/>
            <w:shd w:fill="F7F8F9"/>
          </w:tcPr>
          <w:p>
            <w:pPr>
              <w:spacing w:after="0" w:line="240" w:lineRule="auto"/>
            </w:pPr>
            <w:r>
              <w:rPr>
                <w:rFonts w:ascii="Aptos" w:hAnsi="Aptos"/>
                <w:b/>
                <w:i w:val="0"/>
                <w:sz w:val="16"/>
              </w:rPr>
              <w:t>7 November 2026</w:t>
            </w:r>
          </w:p>
        </w:tc>
        <w:tc>
          <w:tcPr>
            <w:tcW w:type="dxa" w:w="3484"/>
            <w:tcMar>
              <w:top w:w="80" w:type="dxa"/>
              <w:start w:w="85" w:type="dxa"/>
              <w:bottom w:w="80" w:type="dxa"/>
              <w:end w:w="85" w:type="dxa"/>
            </w:tcMar>
            <w:vAlign w:val="center"/>
            <w:shd w:fill="F7F8F9"/>
          </w:tcPr>
          <w:p>
            <w:pPr>
              <w:spacing w:after="0" w:line="240" w:lineRule="auto"/>
            </w:pPr>
            <w:r>
              <w:rPr>
                <w:rFonts w:ascii="Aptos" w:hAnsi="Aptos"/>
                <w:b w:val="0"/>
                <w:i w:val="0"/>
                <w:sz w:val="16"/>
              </w:rPr>
              <w:t>Making Tax Digital for Income Tax second quarterly update</w:t>
            </w:r>
          </w:p>
        </w:tc>
        <w:tc>
          <w:tcPr>
            <w:tcW w:type="dxa" w:w="4723"/>
            <w:tcMar>
              <w:top w:w="80" w:type="dxa"/>
              <w:start w:w="85" w:type="dxa"/>
              <w:bottom w:w="80" w:type="dxa"/>
              <w:end w:w="85" w:type="dxa"/>
            </w:tcMar>
            <w:vAlign w:val="center"/>
            <w:shd w:fill="F7F8F9"/>
          </w:tcPr>
          <w:p>
            <w:pPr>
              <w:spacing w:after="0" w:line="240" w:lineRule="auto"/>
            </w:pPr>
            <w:r>
              <w:rPr>
                <w:rFonts w:ascii="Aptos" w:hAnsi="Aptos"/>
                <w:b w:val="0"/>
                <w:i w:val="0"/>
                <w:sz w:val="16"/>
              </w:rPr>
              <w:t>Businesses already within MTD for Income Tax should ensure compatible records are ready.</w:t>
            </w:r>
          </w:p>
        </w:tc>
      </w:tr>
      <w:tr>
        <w:trPr>
          <w:cantSplit/>
        </w:trPr>
        <w:tc>
          <w:tcPr>
            <w:tcW w:type="dxa" w:w="1944"/>
            <w:tcMar>
              <w:top w:w="80" w:type="dxa"/>
              <w:start w:w="85" w:type="dxa"/>
              <w:bottom w:w="80" w:type="dxa"/>
              <w:end w:w="85" w:type="dxa"/>
            </w:tcMar>
            <w:vAlign w:val="center"/>
            <w:shd w:fill="FFFFFF"/>
          </w:tcPr>
          <w:p>
            <w:pPr>
              <w:spacing w:after="0" w:line="240" w:lineRule="auto"/>
            </w:pPr>
            <w:r>
              <w:rPr>
                <w:rFonts w:ascii="Aptos" w:hAnsi="Aptos"/>
                <w:b/>
                <w:i w:val="0"/>
                <w:sz w:val="16"/>
              </w:rPr>
              <w:t>30 November 2026</w:t>
            </w:r>
          </w:p>
        </w:tc>
        <w:tc>
          <w:tcPr>
            <w:tcW w:type="dxa" w:w="3484"/>
            <w:tcMar>
              <w:top w:w="80" w:type="dxa"/>
              <w:start w:w="85" w:type="dxa"/>
              <w:bottom w:w="80" w:type="dxa"/>
              <w:end w:w="85" w:type="dxa"/>
            </w:tcMar>
            <w:vAlign w:val="center"/>
            <w:shd w:fill="FFFFFF"/>
          </w:tcPr>
          <w:p>
            <w:pPr>
              <w:spacing w:after="0" w:line="240" w:lineRule="auto"/>
            </w:pPr>
            <w:hyperlink r:id="rId23">
              <w:r>
                <w:rPr>
                  <w:color w:val="C8102E"/>
                  <w:u w:val="single"/>
                </w:rPr>
                <w:t>Corporate reporting consultation</w:t>
              </w:r>
            </w:hyperlink>
          </w:p>
        </w:tc>
        <w:tc>
          <w:tcPr>
            <w:tcW w:type="dxa" w:w="4723"/>
            <w:tcMar>
              <w:top w:w="80" w:type="dxa"/>
              <w:start w:w="85" w:type="dxa"/>
              <w:bottom w:w="80" w:type="dxa"/>
              <w:end w:w="85" w:type="dxa"/>
            </w:tcMar>
            <w:vAlign w:val="center"/>
            <w:shd w:fill="FFFFFF"/>
          </w:tcPr>
          <w:p>
            <w:pPr>
              <w:spacing w:after="0" w:line="240" w:lineRule="auto"/>
            </w:pPr>
            <w:r>
              <w:rPr>
                <w:rFonts w:ascii="Aptos" w:hAnsi="Aptos"/>
                <w:b w:val="0"/>
                <w:i w:val="0"/>
                <w:sz w:val="16"/>
              </w:rPr>
              <w:t>Opportunity to shape SME reporting and audit-exemption proposals.</w:t>
            </w:r>
          </w:p>
        </w:tc>
      </w:tr>
    </w:tbl>
    <w:p>
      <w:pPr>
        <w:spacing w:after="0"/>
      </w:pPr>
    </w:p>
    <w:p>
      <w:pPr>
        <w:pStyle w:val="Heading1"/>
        <w:pBdr>
          <w:bottom w:val="single" w:sz="6" w:space="3" w:color="D9DDE1"/>
        </w:pBdr>
      </w:pPr>
      <w:r>
        <w:rPr>
          <w:b w:val="0"/>
          <w:i w:val="0"/>
        </w:rPr>
        <w:t>SME4Labour's perspective</w:t>
      </w:r>
    </w:p>
    <w:p>
      <w:r>
        <w:rPr>
          <w:b/>
          <w:i w:val="0"/>
        </w:rPr>
        <w:t>Suggested quote for Ibrahim Dogus, Chair of SME4Labour - draft wording for approval, not a previously issued statement:</w:t>
      </w:r>
    </w:p>
    <w:p>
      <w:pPr>
        <w:keepLines/>
        <w:spacing w:after="80" w:before="80"/>
        <w:ind w:left="317" w:right="202"/>
        <w:pBdr>
          <w:left w:val="single" w:sz="20" w:space="8" w:color="C8102E"/>
        </w:pBdr>
      </w:pPr>
      <w:r>
        <w:rPr>
          <w:b w:val="0"/>
          <w:i/>
        </w:rPr>
        <w:t>"The opening of the UK's 250th banking hub is the kind of practical delivery that small businesses notice. For firms that still rely on cash and face-to-face support, being able to deposit takings locally can save time, reduce risk and keep money circulating on the high street.</w:t>
      </w:r>
    </w:p>
    <w:p>
      <w:pPr>
        <w:keepLines/>
        <w:spacing w:after="80"/>
        <w:ind w:left="317" w:right="202"/>
        <w:pBdr>
          <w:left w:val="single" w:sz="20" w:space="8" w:color="C8102E"/>
        </w:pBdr>
      </w:pPr>
    </w:p>
    <w:p>
      <w:pPr>
        <w:keepLines/>
        <w:spacing w:after="80"/>
        <w:ind w:left="317" w:right="202"/>
        <w:pBdr>
          <w:left w:val="single" w:sz="20" w:space="8" w:color="C8102E"/>
        </w:pBdr>
      </w:pPr>
      <w:r>
        <w:rPr>
          <w:b w:val="0"/>
          <w:i/>
        </w:rPr>
        <w:t>"It is also welcome that employers are receiving advance clarity on future flexible-working rules and that HMRC is improving everyday digital services. The next test is access: regional investment in energy, education and innovation must translate into visible opportunities, proportionate procurement and prompt payment for smaller firms."</w:t>
      </w:r>
    </w:p>
    <w:p>
      <w:pPr>
        <w:pStyle w:val="Heading1"/>
        <w:pBdr>
          <w:bottom w:val="single" w:sz="6" w:space="3" w:color="D9DDE1"/>
        </w:pBdr>
      </w:pPr>
      <w:r>
        <w:rPr>
          <w:b w:val="0"/>
          <w:i w:val="0"/>
        </w:rPr>
        <w:t>Priority for the week ahead</w:t>
      </w:r>
    </w:p>
    <w:p>
      <w:r>
        <w:rPr>
          <w:b/>
          <w:i w:val="0"/>
        </w:rPr>
        <w:t>Help SMEs act on immediate deadlines while pressing for accessible delivery.</w:t>
      </w:r>
      <w:r>
        <w:rPr>
          <w:b w:val="0"/>
          <w:i w:val="0"/>
        </w:rPr>
        <w:t xml:space="preserve"> SME4Labour should highlight the 22-23 September consultation and innovation deadlines, monitor the Liverpool City Region funding decision on 25 September, and seek a precise public opening and closing timetable for the Hospitality Grant Scheme.</w:t>
      </w:r>
    </w:p>
    <w:p>
      <w:r>
        <w:rPr>
          <w:b w:val="0"/>
          <w:i w:val="0"/>
        </w:rPr>
        <w:t>It should also gather short examples from cash-reliant businesses about gaps in local banking access and from small employers about the practical guidance they will need before the flexible-working reforms take effect.</w:t>
      </w:r>
    </w:p>
    <w:p>
      <w:pPr>
        <w:pStyle w:val="Heading1"/>
        <w:pBdr>
          <w:bottom w:val="single" w:sz="6" w:space="3" w:color="D9DDE1"/>
        </w:pBdr>
      </w:pPr>
      <w:r>
        <w:rPr>
          <w:b w:val="0"/>
          <w:i w:val="0"/>
        </w:rPr>
        <w:t>About SME4Labour</w:t>
      </w:r>
    </w:p>
    <w:p>
      <w:r>
        <w:rPr>
          <w:b w:val="0"/>
          <w:i w:val="0"/>
        </w:rPr>
        <w:t>SME4Labour is a Labour supporters' group bringing together small and medium-sized businesses with Labour representatives, trade unions and policymakers. It is not affiliated to the Labour Party and is not a lobbying organisation.</w:t>
      </w:r>
    </w:p>
    <w:p>
      <w:pPr>
        <w:spacing w:before="60"/>
      </w:pPr>
      <w:r>
        <w:rPr>
          <w:b w:val="0"/>
          <w:i/>
          <w:color w:val="566270"/>
          <w:sz w:val="17"/>
        </w:rPr>
        <w:t>Methodology: Primary sources were checked on 21 September 2026. The main selection covers 14-20 September. SME implications and suggested actions are analysis, not official promises. Proposed funding, regulatory preparation and modelled economic benefits are not presented as delivered SME awards or income. Where an official source did not provide a precise application date or procurement route, that limitation is stated.</w:t>
      </w:r>
    </w:p>
    <w:p>
      <w:pPr>
        <w:spacing w:before="60"/>
      </w:pPr>
      <w:r>
        <w:rPr>
          <w:b w:val="0"/>
          <w:i/>
          <w:color w:val="566270"/>
          <w:sz w:val="17"/>
        </w:rPr>
        <w:t>For general information only; not legal, tax, procurement, employment, export or financial advice. Businesses should check eligibility, deadlines, contract terms and implementation details directly before acting.</w:t>
      </w:r>
    </w:p>
    <w:sectPr w:rsidR="00FC693F" w:rsidRPr="0006063C" w:rsidSect="00034616">
      <w:headerReference w:type="default" r:id="rId9"/>
      <w:footerReference w:type="default" r:id="rId10"/>
      <w:pgSz w:w="12240" w:h="15840"/>
      <w:pgMar w:top="922" w:right="1008" w:bottom="893" w:left="1008"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566270"/>
        <w:sz w:val="15"/>
      </w:rPr>
      <w:t xml:space="preserve">21 SEPTEMBER 2026   •   SME4LABOUR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6" w:space="2" w:color="D6DADF"/>
      </w:pBdr>
    </w:pPr>
    <w:r>
      <w:rPr>
        <w:rFonts w:ascii="Aptos" w:hAnsi="Aptos"/>
        <w:b/>
        <w:color w:val="C8102E"/>
        <w:sz w:val="16"/>
      </w:rPr>
      <w:t>SME4LABOUR  /  WEEKLY BRIEFING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widowControl/>
      <w:spacing w:after="100" w:line="259" w:lineRule="auto"/>
    </w:pPr>
    <w:rPr>
      <w:rFonts w:ascii="Aptos" w:hAnsi="Aptos"/>
      <w:color w:val="1F2D3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20" w:after="120"/>
      <w:outlineLvl w:val="0"/>
    </w:pPr>
    <w:rPr>
      <w:rFonts w:asciiTheme="majorHAnsi" w:eastAsiaTheme="majorEastAsia" w:hAnsiTheme="majorHAnsi" w:cstheme="majorBidi" w:ascii="Aptos Display" w:hAnsi="Aptos Display"/>
      <w:b/>
      <w:bCs/>
      <w:color w:val="1F2D3D"/>
      <w:sz w:val="30"/>
      <w:szCs w:val="28"/>
    </w:rPr>
  </w:style>
  <w:style w:type="paragraph" w:styleId="Heading2">
    <w:name w:val="heading 2"/>
    <w:basedOn w:val="Normal"/>
    <w:next w:val="Normal"/>
    <w:link w:val="Heading2Char"/>
    <w:uiPriority w:val="9"/>
    <w:unhideWhenUsed/>
    <w:qFormat/>
    <w:rsid w:val="00FC693F"/>
    <w:pPr>
      <w:keepNext/>
      <w:keepLines/>
      <w:pageBreakBefore w:val="0"/>
      <w:spacing w:before="160" w:after="80"/>
      <w:outlineLvl w:val="1"/>
    </w:pPr>
    <w:rPr>
      <w:rFonts w:asciiTheme="majorHAnsi" w:eastAsiaTheme="majorEastAsia" w:hAnsiTheme="majorHAnsi" w:cstheme="majorBidi" w:ascii="Aptos Display" w:hAnsi="Aptos Display"/>
      <w:b/>
      <w:bCs/>
      <w:color w:val="C8102E"/>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pBdr>
        <w:bottom w:val="single" w:sz="8" w:space="4" w:color="4F81BD" w:themeColor="accent1"/>
      </w:pBdr>
      <w:spacing w:after="140" w:line="240" w:lineRule="auto"/>
      <w:contextualSpacing/>
    </w:pPr>
    <w:rPr>
      <w:rFonts w:asciiTheme="majorHAnsi" w:eastAsiaTheme="majorEastAsia" w:hAnsiTheme="majorHAnsi" w:cstheme="majorBidi" w:ascii="Aptos Display" w:hAnsi="Aptos Display"/>
      <w:b/>
      <w:color w:val="C8102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ov.uk/government/news/uks-250th-banking-hub-opens-in-chepstow-keeping-access-to-cash-and-face-to-face-banking-in-the-town" TargetMode="External"/><Relationship Id="rId12" Type="http://schemas.openxmlformats.org/officeDocument/2006/relationships/hyperlink" Target="https://www.gov.uk/government/consultations/make-work-pay-improving-access-to-flexible-working" TargetMode="External"/><Relationship Id="rId13" Type="http://schemas.openxmlformats.org/officeDocument/2006/relationships/hyperlink" Target="https://assets.publishing.service.gov.uk/media/6aa94e08086ce7c57b8184cb/flexible-working-consultation-response.pdf" TargetMode="External"/><Relationship Id="rId14" Type="http://schemas.openxmlformats.org/officeDocument/2006/relationships/hyperlink" Target="https://www.gov.uk/government/publications/agent-update-issue-147/issue-147-of-agent-update" TargetMode="External"/><Relationship Id="rId15" Type="http://schemas.openxmlformats.org/officeDocument/2006/relationships/hyperlink" Target="https://www.liverpoolcityregion-ca.gov.uk/news/liverpool-city-region-combined-authority-to-invest-5-5m-in-solar-panels-and-batteries-in-social-housing" TargetMode="External"/><Relationship Id="rId16" Type="http://schemas.openxmlformats.org/officeDocument/2006/relationships/hyperlink" Target="https://www.gov.uk/government/news/more-enriching-activities-for-hundreds-of-thousands-of-children" TargetMode="External"/><Relationship Id="rId17" Type="http://schemas.openxmlformats.org/officeDocument/2006/relationships/hyperlink" Target="https://www.gov.uk/government/publications/food-standards-agency-business-committee-meeting-september-2026/progress-against-the-economic-growth-goals-fsa-business-committee" TargetMode="External"/><Relationship Id="rId18" Type="http://schemas.openxmlformats.org/officeDocument/2006/relationships/hyperlink" Target="https://www.business.gov.uk/campaign/employment-changes/" TargetMode="External"/><Relationship Id="rId19" Type="http://schemas.openxmlformats.org/officeDocument/2006/relationships/hyperlink" Target="https://www.gov.uk/government/publications/project-panoptes-protecting-the-force-enabling-manoeuvre" TargetMode="External"/><Relationship Id="rId20" Type="http://schemas.openxmlformats.org/officeDocument/2006/relationships/hyperlink" Target="https://www.gov.uk/government/news/10-million-hospitality-grant-scheme-launches-in-boost-for-independent-pubs-restaurants-and-cafes" TargetMode="External"/><Relationship Id="rId21" Type="http://schemas.openxmlformats.org/officeDocument/2006/relationships/hyperlink" Target="https://www.gov.uk/register-for-self-assessment" TargetMode="External"/><Relationship Id="rId22" Type="http://schemas.openxmlformats.org/officeDocument/2006/relationships/hyperlink" Target="https://www.gov.uk/government/news/dbs-reduces-fees-for-checks-and-update-service-from-5-october-2026" TargetMode="External"/><Relationship Id="rId23" Type="http://schemas.openxmlformats.org/officeDocument/2006/relationships/hyperlink" Target="https://www.gov.uk/government/news/firms-freed-from-pen-pushing-paperwork-and-costly-red-tape-in-business-reporting-overha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SME4Labour Weekly Small Business Briefing – 21 September 2026</dc:title>
  <dc:subject>Small business developments, 14–20 September 2026</dc:subject>
  <dc:creator>SME4Labour</dc:creator>
  <cp:keywords>SME, small business, Labour, business briefing</cp:keywords>
  <dc:description>generated by python-docx</dc:description>
  <cp:lastModifiedBy/>
  <cp:revision>1</cp:revision>
  <dcterms:created xsi:type="dcterms:W3CDTF">2013-12-23T23:15:00Z</dcterms:created>
  <dcterms:modified xsi:type="dcterms:W3CDTF">2013-12-23T23:15:00Z</dcterms:modified>
  <cp:category/>
</cp:coreProperties>
</file>